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pStyle w:val="2"/>
        <w:numPr>
          <w:numId w:val="0"/>
        </w:numPr>
        <w:ind w:left="880"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sz w:val="44"/>
          <w:szCs w:val="44"/>
        </w:rPr>
      </w:pPr>
      <w:r>
        <w:rPr>
          <w:rFonts w:hint="eastAsia" w:ascii="宋体" w:hAnsi="宋体" w:eastAsia="宋体" w:cs="宋体"/>
          <w:b/>
          <w:sz w:val="44"/>
          <w:szCs w:val="44"/>
        </w:rPr>
        <w:t>沈阳工学院2023年工作要点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本年度学校工作的总体思路是：以习近平新时代中国特色社会主义思想为指导，深入学习贯彻党的二十大精神，认真贯彻落实习近平总书记关于教育的重要论述和关于东北、辽宁振兴发展重要讲话和指示批示精神，深刻领悟“两个确立”的决定性意义，增强“四个意识”、坚定“四个自信”、做到“两个维护”,坚持和加强党对教育工作的全面领导，全面贯彻党的教育方针，落实立德树人根本任务，统筹推进“十四五”时期发展规划确定的重点工作，努力使各方面工作取得新进步新成效；扎实做好存在问题整改工作，确保顺利通过合格评估复评；切实增强落实工作的执行力，不断激发师生员工追求卓越干劲，努力为实现质量上水平、办学上层次、发展上台阶做出新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一、充分发挥党组织政治核心作用，引领学校高质量发展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bCs/>
          <w:sz w:val="32"/>
          <w:szCs w:val="32"/>
        </w:rPr>
        <w:t>推进新时代党的创新理论入脑入心</w:t>
      </w:r>
      <w:r>
        <w:rPr>
          <w:rFonts w:hint="eastAsia" w:ascii="仿宋" w:hAnsi="仿宋" w:eastAsia="仿宋" w:cs="仿宋"/>
          <w:bCs/>
          <w:sz w:val="32"/>
          <w:szCs w:val="32"/>
        </w:rPr>
        <w:t>。</w:t>
      </w:r>
      <w:r>
        <w:rPr>
          <w:rFonts w:hint="eastAsia" w:ascii="仿宋" w:hAnsi="仿宋" w:eastAsia="仿宋"/>
          <w:bCs/>
          <w:sz w:val="32"/>
          <w:szCs w:val="32"/>
        </w:rPr>
        <w:t>将学习贯彻习近平新时代中国特色社会主义思想和党的二十大精神作为首要政治任务，作为领导干部和党校教育、党支部主题党日活动的必学内容、必修课程，在“三个全面”上下功夫，切实做到学懂弄通做实。开好讲好“习近平新时代中国特色社会主义思想概论”课，用好《习近平总书记教育重要论述讲义》《习近平新时代中国特色社会主义思想学生读本》，深入推进习近平新时代中国特色社会主义思想和党的二十大精神进教材进课堂进头脑。</w:t>
      </w:r>
      <w:r>
        <w:rPr>
          <w:rFonts w:hint="eastAsia" w:ascii="仿宋" w:hAnsi="仿宋" w:eastAsia="仿宋" w:cs="仿宋"/>
          <w:sz w:val="32"/>
          <w:szCs w:val="32"/>
        </w:rPr>
        <w:t>（</w:t>
      </w:r>
      <w:r>
        <w:rPr>
          <w:rFonts w:hint="eastAsia" w:ascii="仿宋" w:hAnsi="仿宋" w:eastAsia="仿宋" w:cs="仿宋"/>
          <w:b/>
          <w:bCs/>
          <w:sz w:val="32"/>
          <w:szCs w:val="32"/>
        </w:rPr>
        <w:t>责任单位：</w:t>
      </w:r>
      <w:r>
        <w:rPr>
          <w:rFonts w:hint="eastAsia" w:ascii="仿宋" w:hAnsi="仿宋" w:eastAsia="仿宋" w:cs="仿宋"/>
          <w:sz w:val="32"/>
          <w:szCs w:val="32"/>
        </w:rPr>
        <w:t>党委组织部、党委宣传部、教务处）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2.牢牢掌握意识形态主动权。严格落实意识形态工作责任制，加强学校意识形态阵地建设，开展国家安全教育，强化网络意识形态阵地管理，维护学校政治安全。加强教育舆情监测预警，及时研判化解风险隐患，做好教育突发热点舆情处置。落实“管教学必须管安全、管业务必须管安全、管学段必须管安全”,推动校园安全隐患排查整治常态化，持续深化教师思想政治和师德师风教育。（</w:t>
      </w:r>
      <w:r>
        <w:rPr>
          <w:rFonts w:hint="eastAsia" w:ascii="仿宋" w:hAnsi="仿宋" w:eastAsia="仿宋" w:cs="仿宋"/>
          <w:b/>
          <w:bCs/>
          <w:sz w:val="32"/>
          <w:szCs w:val="32"/>
        </w:rPr>
        <w:t>责任单位：</w:t>
      </w:r>
      <w:r>
        <w:rPr>
          <w:rFonts w:hint="eastAsia" w:ascii="仿宋" w:hAnsi="仿宋" w:eastAsia="仿宋" w:cs="仿宋"/>
          <w:sz w:val="32"/>
          <w:szCs w:val="32"/>
        </w:rPr>
        <w:t>党委宣传部、党委教师工作部、后勤保卫处）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3.强化思想政治教育。充分发挥“大思政课”的铸魂育人主渠道作用；大力实施新时代思政理论课改革创新质量提升专项计划，</w:t>
      </w:r>
      <w:r>
        <w:rPr>
          <w:rFonts w:hint="eastAsia" w:ascii="仿宋" w:hAnsi="仿宋" w:eastAsia="仿宋"/>
          <w:sz w:val="32"/>
          <w:szCs w:val="32"/>
        </w:rPr>
        <w:t>将</w:t>
      </w:r>
      <w:r>
        <w:rPr>
          <w:rFonts w:ascii="仿宋" w:hAnsi="仿宋" w:eastAsia="仿宋"/>
          <w:sz w:val="32"/>
          <w:szCs w:val="32"/>
        </w:rPr>
        <w:t>培育和践行社会主义核心价值观融入教书育人全过程</w:t>
      </w:r>
      <w:r>
        <w:rPr>
          <w:rFonts w:hint="eastAsia" w:ascii="仿宋" w:hAnsi="仿宋" w:eastAsia="仿宋"/>
          <w:sz w:val="32"/>
          <w:szCs w:val="32"/>
        </w:rPr>
        <w:t>；落实立德树人机制，注重教师思想引领，建强思政工作队伍，开展“开学第一课”品牌活动、“向雷锋同志学习”主题活动；发挥辽宁“六地”、雷锋精神等红色文化资源的育人功能，用革命传统教育启智育人。深入实施“体育美育浸润行动计划”，加强学生心理健康教育和国防教育，促进学生德智体美劳全面发展。</w:t>
      </w:r>
      <w:r>
        <w:rPr>
          <w:rFonts w:hint="eastAsia" w:ascii="仿宋" w:hAnsi="仿宋" w:eastAsia="仿宋" w:cs="仿宋"/>
          <w:sz w:val="32"/>
          <w:szCs w:val="32"/>
        </w:rPr>
        <w:t>（</w:t>
      </w:r>
      <w:r>
        <w:rPr>
          <w:rFonts w:hint="eastAsia" w:ascii="仿宋" w:hAnsi="仿宋" w:eastAsia="仿宋" w:cs="仿宋"/>
          <w:b/>
          <w:bCs/>
          <w:sz w:val="32"/>
          <w:szCs w:val="32"/>
        </w:rPr>
        <w:t>责任单位：</w:t>
      </w:r>
      <w:r>
        <w:rPr>
          <w:rFonts w:hint="eastAsia" w:ascii="仿宋" w:hAnsi="仿宋" w:eastAsia="仿宋" w:cs="仿宋"/>
          <w:sz w:val="32"/>
          <w:szCs w:val="32"/>
        </w:rPr>
        <w:t>党委宣传部、党委教师工作部、党委学生工作部、马克思主义学院、教务处）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4.</w:t>
      </w:r>
      <w:r>
        <w:rPr>
          <w:rFonts w:hint="eastAsia" w:ascii="仿宋" w:hAnsi="仿宋" w:eastAsia="仿宋"/>
          <w:bCs/>
          <w:sz w:val="32"/>
          <w:szCs w:val="32"/>
        </w:rPr>
        <w:t>增强基层党组织政治功能和组织功能。深入贯彻落实《中国共产党普通高等学校基层组织工作条例》，健全完善党委、院系级党组织、师生党支部、党员“四位一体”的党建工作体系。深化党建示范创建和质量创优，加大对标杆院系、样板支部的培育力度，充分发挥示范引领和辐射带动作用。</w:t>
      </w:r>
      <w:r>
        <w:rPr>
          <w:rFonts w:hint="eastAsia" w:ascii="仿宋" w:hAnsi="仿宋" w:eastAsia="仿宋"/>
          <w:bCs/>
          <w:color w:val="000000"/>
          <w:kern w:val="0"/>
          <w:sz w:val="32"/>
          <w:szCs w:val="32"/>
        </w:rPr>
        <w:t>扎实推进党支部规范化建设，提升党务工作队伍专业化、职业化水平，优化党员队伍结构，全面提升党建工作质量。</w:t>
      </w:r>
      <w:r>
        <w:rPr>
          <w:rFonts w:hint="eastAsia" w:ascii="仿宋" w:hAnsi="仿宋" w:eastAsia="仿宋" w:cs="仿宋"/>
          <w:sz w:val="32"/>
          <w:szCs w:val="32"/>
        </w:rPr>
        <w:t>（</w:t>
      </w:r>
      <w:r>
        <w:rPr>
          <w:rFonts w:hint="eastAsia" w:ascii="仿宋" w:hAnsi="仿宋" w:eastAsia="仿宋" w:cs="仿宋"/>
          <w:b/>
          <w:bCs/>
          <w:sz w:val="32"/>
          <w:szCs w:val="32"/>
        </w:rPr>
        <w:t>责任单位：</w:t>
      </w:r>
      <w:r>
        <w:rPr>
          <w:rFonts w:hint="eastAsia" w:ascii="仿宋" w:hAnsi="仿宋" w:eastAsia="仿宋" w:cs="仿宋"/>
          <w:sz w:val="32"/>
          <w:szCs w:val="32"/>
        </w:rPr>
        <w:t>党委组织部、党委学生工作部）</w:t>
      </w:r>
    </w:p>
    <w:p>
      <w:pPr>
        <w:pStyle w:val="2"/>
        <w:keepNext w:val="0"/>
        <w:keepLines w:val="0"/>
        <w:pageBreakBefore w:val="0"/>
        <w:widowControl w:val="0"/>
        <w:numPr>
          <w:ilvl w:val="0"/>
          <w:numId w:val="0"/>
        </w:numPr>
        <w:tabs>
          <w:tab w:val="left" w:pos="533"/>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sz w:val="32"/>
          <w:szCs w:val="32"/>
        </w:rPr>
        <w:t>做好新时代学校统战工作。贯彻落实《中共辽宁省委关于加强新时代全省统一战线工作的实施意见》，完善学校统战工作组织体系、运行机制、相关制度，形成做好统战工作的强大合力。加强党外知识分子思想政治引领，用党的创新理论武装头脑，站稳政治立场、把牢政治方向。发挥民主党派和无党派人士作用，为其履行职能、发挥作用提供必要支持和保障。加强党外人士代表发现、培养、使用和管理，持续优化党外代表人士队伍结构。（</w:t>
      </w:r>
      <w:r>
        <w:rPr>
          <w:rFonts w:hint="eastAsia" w:ascii="仿宋" w:hAnsi="仿宋" w:eastAsia="仿宋"/>
          <w:b/>
          <w:bCs/>
          <w:sz w:val="32"/>
          <w:szCs w:val="32"/>
        </w:rPr>
        <w:t>责任单位：</w:t>
      </w:r>
      <w:r>
        <w:rPr>
          <w:rFonts w:hint="eastAsia" w:ascii="仿宋" w:hAnsi="仿宋" w:eastAsia="仿宋"/>
          <w:sz w:val="32"/>
          <w:szCs w:val="32"/>
        </w:rPr>
        <w:t>党委统战部）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6.</w:t>
      </w:r>
      <w:r>
        <w:rPr>
          <w:rFonts w:hint="eastAsia" w:ascii="仿宋" w:hAnsi="仿宋" w:eastAsia="仿宋"/>
          <w:sz w:val="32"/>
          <w:szCs w:val="32"/>
        </w:rPr>
        <w:t>推进全面从严治党。落实中央八项规定及其实施细则精神，持续深化纠治“四风”。履行好正风肃纪政治责任，强化监督效能，健全廉政风险防控机制，加强党员干部监督管理和教育培养，不断净化校园政治生态。（</w:t>
      </w:r>
      <w:r>
        <w:rPr>
          <w:rFonts w:hint="eastAsia" w:ascii="仿宋" w:hAnsi="仿宋" w:eastAsia="仿宋"/>
          <w:b/>
          <w:bCs/>
          <w:sz w:val="32"/>
          <w:szCs w:val="32"/>
        </w:rPr>
        <w:t>责任单位：</w:t>
      </w:r>
      <w:r>
        <w:rPr>
          <w:rFonts w:hint="eastAsia" w:ascii="仿宋" w:hAnsi="仿宋" w:eastAsia="仿宋"/>
          <w:sz w:val="32"/>
          <w:szCs w:val="32"/>
        </w:rPr>
        <w:t>校纪委、监察室）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sz w:val="32"/>
          <w:szCs w:val="32"/>
        </w:rPr>
        <w:t>7.做好共青团、工会等群团组织工作。不断深化共青团、学生会工作改革，推动“两个规范化”，强化“三个领导”，推动“四项制度”贯彻落实。发挥工会组织作用，进一步强化教职工思想政治引领，保障教职工民主管理和民主参与权利，发挥解决职工群众急难愁盼问题的作用，提升工会组织吸引力凝聚力，落实教代会职责，团结动员教职工在学校高质量发展中贡献智慧力量。（</w:t>
      </w:r>
      <w:r>
        <w:rPr>
          <w:rFonts w:hint="eastAsia" w:ascii="仿宋" w:hAnsi="仿宋" w:eastAsia="仿宋"/>
          <w:b/>
          <w:bCs/>
          <w:sz w:val="32"/>
          <w:szCs w:val="32"/>
        </w:rPr>
        <w:t>责任单位：</w:t>
      </w:r>
      <w:r>
        <w:rPr>
          <w:rFonts w:hint="eastAsia" w:ascii="仿宋" w:hAnsi="仿宋" w:eastAsia="仿宋"/>
          <w:sz w:val="32"/>
          <w:szCs w:val="32"/>
        </w:rPr>
        <w:t>校团委、校工会）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二、夯实教育高质量发展基石</w:t>
      </w:r>
      <w:r>
        <w:rPr>
          <w:rFonts w:hint="eastAsia" w:ascii="黑体" w:hAnsi="黑体" w:eastAsia="黑体" w:cs="黑体"/>
          <w:sz w:val="32"/>
          <w:szCs w:val="32"/>
          <w:lang w:eastAsia="zh-CN"/>
        </w:rPr>
        <w:t>，</w:t>
      </w:r>
      <w:r>
        <w:rPr>
          <w:rFonts w:hint="eastAsia" w:ascii="黑体" w:hAnsi="黑体" w:eastAsia="黑体" w:cs="黑体"/>
          <w:sz w:val="32"/>
          <w:szCs w:val="32"/>
        </w:rPr>
        <w:t>打造一流</w:t>
      </w:r>
      <w:r>
        <w:rPr>
          <w:rFonts w:hint="eastAsia" w:ascii="黑体" w:hAnsi="黑体" w:eastAsia="黑体" w:cs="黑体"/>
          <w:sz w:val="32"/>
          <w:szCs w:val="32"/>
          <w:lang w:val="en-US" w:eastAsia="zh-CN"/>
        </w:rPr>
        <w:t>教职工</w:t>
      </w:r>
      <w:r>
        <w:rPr>
          <w:rFonts w:hint="eastAsia" w:ascii="黑体" w:hAnsi="黑体" w:eastAsia="黑体" w:cs="黑体"/>
          <w:sz w:val="32"/>
          <w:szCs w:val="32"/>
        </w:rPr>
        <w:t>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shd w:val="clear" w:color="auto" w:fill="FFFFFF"/>
        </w:rPr>
      </w:pPr>
      <w:r>
        <w:rPr>
          <w:rFonts w:hint="eastAsia" w:ascii="仿宋_GB2312" w:eastAsia="仿宋_GB2312"/>
          <w:sz w:val="32"/>
          <w:szCs w:val="32"/>
          <w:shd w:val="clear" w:color="auto" w:fill="FFFFFF"/>
        </w:rPr>
        <w:t>8.深入推进师德师风教育活动。</w:t>
      </w:r>
      <w:r>
        <w:rPr>
          <w:rFonts w:hint="eastAsia" w:ascii="仿宋_GB2312" w:hAnsi="Times New Roman" w:eastAsia="仿宋_GB2312"/>
          <w:sz w:val="32"/>
          <w:szCs w:val="32"/>
          <w:shd w:val="clear" w:color="auto" w:fill="FFFFFF"/>
        </w:rPr>
        <w:t>面向</w:t>
      </w:r>
      <w:r>
        <w:rPr>
          <w:rFonts w:hint="eastAsia" w:ascii="仿宋_GB2312" w:eastAsia="仿宋_GB2312"/>
          <w:sz w:val="32"/>
          <w:szCs w:val="32"/>
          <w:shd w:val="clear" w:color="auto" w:fill="FFFFFF"/>
        </w:rPr>
        <w:t>全校教职员工</w:t>
      </w:r>
      <w:r>
        <w:rPr>
          <w:rFonts w:hint="eastAsia" w:ascii="仿宋_GB2312" w:hAnsi="Times New Roman" w:eastAsia="仿宋_GB2312"/>
          <w:sz w:val="32"/>
          <w:szCs w:val="32"/>
          <w:shd w:val="clear" w:color="auto" w:fill="FFFFFF"/>
        </w:rPr>
        <w:t>持续开展师德师风警示教育和自查自纠工作，切实推进学校师德师风建设工作向纵深发展</w:t>
      </w:r>
      <w:r>
        <w:rPr>
          <w:rFonts w:hint="eastAsia" w:ascii="仿宋_GB2312" w:hAnsi="Times New Roman" w:eastAsia="仿宋_GB2312"/>
          <w:sz w:val="32"/>
          <w:szCs w:val="32"/>
          <w:shd w:val="clear" w:color="auto" w:fill="FFFFFF"/>
          <w:lang w:eastAsia="zh-CN"/>
        </w:rPr>
        <w:t>，</w:t>
      </w:r>
      <w:r>
        <w:rPr>
          <w:rFonts w:hint="eastAsia" w:ascii="仿宋_GB2312" w:hAnsi="Times New Roman" w:eastAsia="仿宋_GB2312"/>
          <w:sz w:val="32"/>
          <w:szCs w:val="32"/>
          <w:shd w:val="clear" w:color="auto" w:fill="FFFFFF"/>
        </w:rPr>
        <w:t>为学校发展奠定扎实的人才队伍基础，营造良好环境。（</w:t>
      </w:r>
      <w:r>
        <w:rPr>
          <w:rFonts w:hint="eastAsia" w:ascii="仿宋_GB2312" w:hAnsi="Times New Roman" w:eastAsia="仿宋_GB2312"/>
          <w:b/>
          <w:bCs/>
          <w:sz w:val="32"/>
          <w:szCs w:val="32"/>
          <w:shd w:val="clear" w:color="auto" w:fill="FFFFFF"/>
        </w:rPr>
        <w:t>责任单位：</w:t>
      </w:r>
      <w:r>
        <w:rPr>
          <w:rFonts w:hint="eastAsia" w:ascii="仿宋_GB2312" w:hAnsi="Times New Roman" w:eastAsia="仿宋_GB2312"/>
          <w:sz w:val="32"/>
          <w:szCs w:val="32"/>
          <w:shd w:val="clear" w:color="auto" w:fill="FFFFFF"/>
        </w:rPr>
        <w:t>人事处、教学促进与教师发展中心、教务处）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9.</w:t>
      </w:r>
      <w:r>
        <w:rPr>
          <w:rFonts w:hint="eastAsia" w:ascii="仿宋_GB2312" w:hAnsi="Times New Roman" w:eastAsia="仿宋_GB2312"/>
          <w:sz w:val="32"/>
          <w:szCs w:val="32"/>
          <w:shd w:val="clear" w:color="auto" w:fill="FFFFFF"/>
          <w:lang w:val="en-US" w:eastAsia="zh-CN"/>
        </w:rPr>
        <w:t>切实增强</w:t>
      </w:r>
      <w:r>
        <w:rPr>
          <w:rFonts w:hint="eastAsia" w:ascii="仿宋_GB2312" w:hAnsi="Times New Roman" w:eastAsia="仿宋_GB2312"/>
          <w:sz w:val="32"/>
          <w:szCs w:val="32"/>
          <w:shd w:val="clear" w:color="auto" w:fill="FFFFFF"/>
        </w:rPr>
        <w:t>干部领导力。</w:t>
      </w:r>
      <w:r>
        <w:rPr>
          <w:rFonts w:hint="eastAsia" w:ascii="仿宋" w:hAnsi="仿宋" w:eastAsia="仿宋" w:cs="仿宋"/>
          <w:color w:val="000000"/>
          <w:kern w:val="0"/>
          <w:sz w:val="32"/>
          <w:szCs w:val="32"/>
        </w:rPr>
        <w:t>基于学校对领导干部岗位胜任能力的要求，</w:t>
      </w:r>
      <w:r>
        <w:rPr>
          <w:rFonts w:hint="eastAsia" w:ascii="仿宋" w:hAnsi="仿宋" w:eastAsia="仿宋" w:cs="仿宋"/>
          <w:color w:val="000000"/>
          <w:kern w:val="0"/>
          <w:sz w:val="32"/>
          <w:szCs w:val="32"/>
          <w:lang w:val="en-US" w:eastAsia="zh-CN"/>
        </w:rPr>
        <w:t>结合学校发展战略，</w:t>
      </w:r>
      <w:r>
        <w:rPr>
          <w:rFonts w:hint="eastAsia" w:ascii="仿宋" w:hAnsi="仿宋" w:eastAsia="仿宋" w:cs="仿宋"/>
          <w:color w:val="000000"/>
          <w:kern w:val="0"/>
          <w:sz w:val="32"/>
          <w:szCs w:val="32"/>
        </w:rPr>
        <w:t>系统、全面的提升领导干部团队的战略规划力、科学决策力、文化统御力、组织运作力以及个人素质和</w:t>
      </w:r>
      <w:r>
        <w:fldChar w:fldCharType="begin"/>
      </w:r>
      <w:r>
        <w:instrText xml:space="preserve"> HYPERLINK "https://baike.so.com/doc/5411716-5649831.html" \t "https://baike.so.com/doc/_blank" </w:instrText>
      </w:r>
      <w:r>
        <w:fldChar w:fldCharType="separate"/>
      </w:r>
      <w:r>
        <w:rPr>
          <w:rFonts w:hint="eastAsia" w:ascii="仿宋" w:hAnsi="仿宋" w:eastAsia="仿宋" w:cs="仿宋"/>
          <w:color w:val="000000"/>
          <w:kern w:val="0"/>
          <w:sz w:val="32"/>
          <w:szCs w:val="32"/>
        </w:rPr>
        <w:t>修养</w:t>
      </w:r>
      <w:r>
        <w:rPr>
          <w:rFonts w:hint="eastAsia" w:ascii="仿宋" w:hAnsi="仿宋" w:eastAsia="仿宋" w:cs="仿宋"/>
          <w:color w:val="000000"/>
          <w:kern w:val="0"/>
          <w:sz w:val="32"/>
          <w:szCs w:val="32"/>
        </w:rPr>
        <w:fldChar w:fldCharType="end"/>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按照</w:t>
      </w:r>
      <w:r>
        <w:rPr>
          <w:rFonts w:hint="eastAsia" w:ascii="仿宋" w:hAnsi="仿宋" w:eastAsia="仿宋" w:cs="仿宋"/>
          <w:color w:val="000000"/>
          <w:kern w:val="0"/>
          <w:sz w:val="32"/>
          <w:szCs w:val="32"/>
          <w:lang w:eastAsia="zh-CN"/>
        </w:rPr>
        <w:t>干部教育培训规划，</w:t>
      </w:r>
      <w:r>
        <w:rPr>
          <w:rFonts w:hint="eastAsia" w:ascii="仿宋" w:hAnsi="仿宋" w:eastAsia="仿宋" w:cs="仿宋"/>
          <w:color w:val="000000"/>
          <w:kern w:val="0"/>
          <w:sz w:val="32"/>
          <w:szCs w:val="32"/>
          <w:lang w:val="en-US" w:eastAsia="zh-CN"/>
        </w:rPr>
        <w:t>继续开展</w:t>
      </w:r>
      <w:r>
        <w:rPr>
          <w:rFonts w:hint="eastAsia" w:ascii="仿宋_GB2312" w:hAnsi="Times New Roman" w:eastAsia="仿宋_GB2312"/>
          <w:sz w:val="32"/>
          <w:szCs w:val="32"/>
          <w:shd w:val="clear" w:color="auto" w:fill="FFFFFF"/>
        </w:rPr>
        <w:t>领导力</w:t>
      </w:r>
      <w:r>
        <w:rPr>
          <w:rFonts w:hint="eastAsia" w:ascii="仿宋_GB2312" w:eastAsia="仿宋_GB2312"/>
          <w:sz w:val="32"/>
          <w:szCs w:val="32"/>
          <w:shd w:val="clear" w:color="auto" w:fill="FFFFFF"/>
        </w:rPr>
        <w:t>提升</w:t>
      </w:r>
      <w:r>
        <w:rPr>
          <w:rFonts w:hint="eastAsia" w:ascii="仿宋_GB2312" w:hAnsi="Times New Roman" w:eastAsia="仿宋_GB2312"/>
          <w:sz w:val="32"/>
          <w:szCs w:val="32"/>
          <w:shd w:val="clear" w:color="auto" w:fill="FFFFFF"/>
        </w:rPr>
        <w:t>线下培训</w:t>
      </w:r>
      <w:r>
        <w:rPr>
          <w:rFonts w:hint="eastAsia" w:ascii="仿宋_GB2312" w:hAnsi="Times New Roman" w:eastAsia="仿宋_GB2312"/>
          <w:sz w:val="32"/>
          <w:szCs w:val="32"/>
          <w:shd w:val="clear" w:color="auto" w:fill="FFFFFF"/>
          <w:lang w:eastAsia="zh-CN"/>
        </w:rPr>
        <w:t>，</w:t>
      </w:r>
      <w:r>
        <w:rPr>
          <w:rFonts w:hint="eastAsia" w:ascii="仿宋_GB2312" w:hAnsi="Times New Roman" w:eastAsia="仿宋_GB2312"/>
          <w:sz w:val="32"/>
          <w:szCs w:val="32"/>
          <w:shd w:val="clear" w:color="auto" w:fill="FFFFFF"/>
          <w:lang w:val="en-US" w:eastAsia="zh-CN"/>
        </w:rPr>
        <w:t>切实</w:t>
      </w:r>
      <w:r>
        <w:rPr>
          <w:rFonts w:hint="eastAsia" w:ascii="仿宋_GB2312" w:hAnsi="Times New Roman" w:eastAsia="仿宋_GB2312"/>
          <w:sz w:val="32"/>
          <w:szCs w:val="32"/>
          <w:shd w:val="clear" w:color="auto" w:fill="FFFFFF"/>
        </w:rPr>
        <w:t>提升</w:t>
      </w:r>
      <w:r>
        <w:rPr>
          <w:rFonts w:hint="eastAsia" w:ascii="仿宋_GB2312" w:hAnsi="Times New Roman" w:eastAsia="仿宋_GB2312"/>
          <w:sz w:val="32"/>
          <w:szCs w:val="32"/>
          <w:shd w:val="clear" w:color="auto" w:fill="FFFFFF"/>
          <w:lang w:val="en-US" w:eastAsia="zh-CN"/>
        </w:rPr>
        <w:t>干部</w:t>
      </w:r>
      <w:r>
        <w:rPr>
          <w:rFonts w:hint="eastAsia" w:ascii="仿宋_GB2312" w:hAnsi="Times New Roman" w:eastAsia="仿宋_GB2312"/>
          <w:sz w:val="32"/>
          <w:szCs w:val="32"/>
          <w:shd w:val="clear" w:color="auto" w:fill="FFFFFF"/>
        </w:rPr>
        <w:t>领导力与创新力</w:t>
      </w:r>
      <w:r>
        <w:rPr>
          <w:rFonts w:hint="eastAsia" w:ascii="仿宋_GB2312" w:hAnsi="Times New Roman" w:eastAsia="仿宋_GB2312"/>
          <w:sz w:val="32"/>
          <w:szCs w:val="32"/>
          <w:shd w:val="clear" w:color="auto" w:fill="FFFFFF"/>
          <w:lang w:eastAsia="zh-CN"/>
        </w:rPr>
        <w:t>，</w:t>
      </w:r>
      <w:r>
        <w:rPr>
          <w:rFonts w:hint="eastAsia" w:ascii="仿宋_GB2312" w:hAnsi="Times New Roman" w:eastAsia="仿宋_GB2312"/>
          <w:sz w:val="32"/>
          <w:szCs w:val="32"/>
          <w:shd w:val="clear" w:color="auto" w:fill="FFFFFF"/>
          <w:lang w:val="en-US" w:eastAsia="zh-CN"/>
        </w:rPr>
        <w:t>着力</w:t>
      </w:r>
      <w:r>
        <w:rPr>
          <w:rFonts w:hint="eastAsia" w:ascii="仿宋_GB2312" w:hAnsi="Times New Roman" w:eastAsia="仿宋_GB2312"/>
          <w:sz w:val="32"/>
          <w:szCs w:val="32"/>
          <w:shd w:val="clear" w:color="auto" w:fill="FFFFFF"/>
        </w:rPr>
        <w:t>打造一支适应学校高质量发展要求的干部队伍</w:t>
      </w:r>
      <w:r>
        <w:rPr>
          <w:rFonts w:hint="eastAsia" w:ascii="仿宋_GB2312" w:hAnsi="Times New Roman" w:eastAsia="仿宋_GB2312"/>
          <w:sz w:val="32"/>
          <w:szCs w:val="32"/>
          <w:shd w:val="clear" w:color="auto" w:fill="FFFFFF"/>
          <w:lang w:eastAsia="zh-CN"/>
        </w:rPr>
        <w:t>。</w:t>
      </w:r>
      <w:r>
        <w:rPr>
          <w:rFonts w:hint="eastAsia" w:ascii="仿宋_GB2312" w:hAnsi="Times New Roman" w:eastAsia="仿宋_GB2312"/>
          <w:sz w:val="32"/>
          <w:szCs w:val="32"/>
          <w:shd w:val="clear" w:color="auto" w:fill="FFFFFF"/>
        </w:rPr>
        <w:t>（</w:t>
      </w:r>
      <w:r>
        <w:rPr>
          <w:rFonts w:hint="eastAsia" w:ascii="仿宋_GB2312" w:hAnsi="Times New Roman" w:eastAsia="仿宋_GB2312"/>
          <w:b/>
          <w:bCs/>
          <w:sz w:val="32"/>
          <w:szCs w:val="32"/>
          <w:shd w:val="clear" w:color="auto" w:fill="FFFFFF"/>
        </w:rPr>
        <w:t>责</w:t>
      </w:r>
      <w:r>
        <w:rPr>
          <w:rFonts w:hint="eastAsia" w:ascii="仿宋_GB2312" w:eastAsia="仿宋_GB2312"/>
          <w:b/>
          <w:bCs/>
          <w:sz w:val="32"/>
          <w:szCs w:val="32"/>
          <w:shd w:val="clear" w:color="auto" w:fill="FFFFFF"/>
        </w:rPr>
        <w:t>任单位：</w:t>
      </w:r>
      <w:r>
        <w:rPr>
          <w:rFonts w:hint="eastAsia" w:ascii="仿宋_GB2312" w:eastAsia="仿宋_GB2312"/>
          <w:sz w:val="32"/>
          <w:szCs w:val="32"/>
          <w:shd w:val="clear" w:color="auto" w:fill="FFFFFF"/>
        </w:rPr>
        <w:t>人事处、教学促进与教师发展中心）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10.持续提升管理岗员工综合能力。进一步提升学校管理岗员工的素质能力和业务水平，增强管理岗员工的履职能力，加强管理制度化、流程化和规范化建设，开展管理岗员工能力提升计划，明确本岗位职责，形成基本工作逻辑，制订流程清晰、设计简化的服务流程图，切实提高行政服务工作效率，增强学校制度执行力</w:t>
      </w:r>
      <w:r>
        <w:rPr>
          <w:rFonts w:hint="eastAsia" w:ascii="仿宋" w:hAnsi="仿宋" w:eastAsia="仿宋" w:cs="仿宋"/>
          <w:bCs/>
          <w:sz w:val="32"/>
          <w:szCs w:val="32"/>
          <w:lang w:eastAsia="zh-CN"/>
        </w:rPr>
        <w:t>。</w:t>
      </w:r>
      <w:r>
        <w:rPr>
          <w:rFonts w:hint="eastAsia" w:ascii="仿宋" w:hAnsi="仿宋" w:eastAsia="仿宋" w:cs="仿宋"/>
          <w:bCs/>
          <w:sz w:val="32"/>
          <w:szCs w:val="32"/>
        </w:rPr>
        <w:t>加强</w:t>
      </w:r>
      <w:r>
        <w:rPr>
          <w:rFonts w:hint="eastAsia" w:ascii="仿宋" w:hAnsi="仿宋" w:eastAsia="仿宋" w:cs="仿宋"/>
          <w:bCs/>
          <w:sz w:val="32"/>
          <w:szCs w:val="32"/>
          <w:lang w:val="en-US" w:eastAsia="zh-CN"/>
        </w:rPr>
        <w:t>管理人员</w:t>
      </w:r>
      <w:r>
        <w:rPr>
          <w:rFonts w:hint="eastAsia" w:ascii="仿宋" w:hAnsi="仿宋" w:eastAsia="仿宋" w:cs="仿宋"/>
          <w:bCs/>
          <w:sz w:val="32"/>
          <w:szCs w:val="32"/>
        </w:rPr>
        <w:t>作风建设，牢固树立“服务教学工作、服务教师、服务学生”的观念，浓厚学习氛围，增强质量意识，打造一流管理服务队伍</w:t>
      </w:r>
      <w:r>
        <w:rPr>
          <w:rFonts w:hint="eastAsia" w:ascii="仿宋" w:hAnsi="仿宋" w:eastAsia="仿宋" w:cs="仿宋"/>
          <w:bCs/>
          <w:sz w:val="32"/>
          <w:szCs w:val="32"/>
          <w:lang w:eastAsia="zh-CN"/>
        </w:rPr>
        <w:t>。</w:t>
      </w:r>
      <w:r>
        <w:rPr>
          <w:rFonts w:hint="eastAsia" w:ascii="仿宋_GB2312" w:hAnsi="Times New Roman" w:eastAsia="仿宋_GB2312"/>
          <w:sz w:val="32"/>
          <w:szCs w:val="32"/>
          <w:shd w:val="clear" w:color="auto" w:fill="FFFFFF"/>
        </w:rPr>
        <w:t>（</w:t>
      </w:r>
      <w:r>
        <w:rPr>
          <w:rFonts w:hint="eastAsia" w:ascii="仿宋_GB2312" w:hAnsi="Times New Roman" w:eastAsia="仿宋_GB2312"/>
          <w:b/>
          <w:bCs/>
          <w:sz w:val="32"/>
          <w:szCs w:val="32"/>
          <w:shd w:val="clear" w:color="auto" w:fill="FFFFFF"/>
        </w:rPr>
        <w:t>责</w:t>
      </w:r>
      <w:r>
        <w:rPr>
          <w:rFonts w:hint="eastAsia" w:ascii="仿宋_GB2312" w:eastAsia="仿宋_GB2312"/>
          <w:b/>
          <w:bCs/>
          <w:sz w:val="32"/>
          <w:szCs w:val="32"/>
          <w:shd w:val="clear" w:color="auto" w:fill="FFFFFF"/>
        </w:rPr>
        <w:t>任单位：</w:t>
      </w:r>
      <w:r>
        <w:rPr>
          <w:rFonts w:hint="eastAsia" w:ascii="仿宋_GB2312" w:eastAsia="仿宋_GB2312"/>
          <w:sz w:val="32"/>
          <w:szCs w:val="32"/>
          <w:shd w:val="clear" w:color="auto" w:fill="FFFFFF"/>
        </w:rPr>
        <w:t>人事处、教学促进与教师发展中心）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rPr>
        <w:t>1</w:t>
      </w: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着力提升教师教育教学能力水平。实行大团队+小群体的模式，实现“点、线、面”结合，助推教师快速成长。面向全体教师组织高层次学术报告，聘请高水平专家学者进行学术报告；面向不同教龄水平的教师群体，开展“雏雁养成计划”和“领雁培养计划”，针对青年教师深入开展导师制1.0，提升课堂教学能力提升，针对骨干教师业务能力提升，开展导师制2.0，组织至少10场讲座、沙龙、报告等活动；遵循学校发展和教师成长规律，坚持“按需培训”原则，组织教师到国内外高校学习培训，学习先进教育教学理念和方法，掌握教育教学规律。加强已聘研究生导师的管理，不断提高指导能力和水平。鼓励教师赴企业挂职锻炼，提高教师专业实践能力，推动高素质双师双能师资队伍建设。（</w:t>
      </w:r>
      <w:r>
        <w:rPr>
          <w:rFonts w:hint="eastAsia" w:ascii="仿宋_GB2312" w:eastAsia="仿宋_GB2312"/>
          <w:b/>
          <w:bCs/>
          <w:sz w:val="32"/>
          <w:szCs w:val="32"/>
          <w:shd w:val="clear" w:color="auto" w:fill="FFFFFF"/>
          <w:lang w:val="en-US" w:eastAsia="zh-CN"/>
        </w:rPr>
        <w:t>责任单位：</w:t>
      </w:r>
      <w:r>
        <w:rPr>
          <w:rFonts w:hint="eastAsia" w:ascii="仿宋_GB2312" w:eastAsia="仿宋_GB2312"/>
          <w:sz w:val="32"/>
          <w:szCs w:val="32"/>
          <w:shd w:val="clear" w:color="auto" w:fill="FFFFFF"/>
          <w:lang w:val="en-US" w:eastAsia="zh-CN"/>
        </w:rPr>
        <w:t>人事处、教学促进与教师发展中心、教务处）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黑体" w:hAnsi="黑体" w:eastAsia="黑体" w:cs="黑体"/>
          <w:sz w:val="32"/>
          <w:szCs w:val="32"/>
        </w:rPr>
        <w:t>三、落实整改方案，做好本科教学合格评估复评准备工作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sz w:val="32"/>
          <w:szCs w:val="32"/>
        </w:rPr>
        <w:t>12.推进评估整改措施。针对教育部本科教学工作合格评估专家组和</w:t>
      </w:r>
      <w:r>
        <w:rPr>
          <w:rFonts w:hint="eastAsia" w:ascii="仿宋" w:hAnsi="仿宋" w:eastAsia="仿宋" w:cs="仿宋"/>
          <w:bCs/>
          <w:sz w:val="32"/>
          <w:szCs w:val="32"/>
        </w:rPr>
        <w:t>国务院教育督导委员会办公室评估反馈的8个方面共26个问题进行逐一检查与整改验收，确保所有整改项目全部落实；依据合格评估指标体系与标准要求，编写整改报告和自评报告，按时提交相关报告材料。（</w:t>
      </w:r>
      <w:r>
        <w:rPr>
          <w:rFonts w:hint="eastAsia" w:ascii="仿宋" w:hAnsi="仿宋" w:eastAsia="仿宋" w:cs="仿宋"/>
          <w:b/>
          <w:bCs/>
          <w:sz w:val="32"/>
          <w:szCs w:val="32"/>
        </w:rPr>
        <w:t>责任单位</w:t>
      </w:r>
      <w:r>
        <w:rPr>
          <w:rFonts w:hint="eastAsia" w:ascii="仿宋" w:hAnsi="仿宋" w:eastAsia="仿宋" w:cs="仿宋"/>
          <w:sz w:val="32"/>
          <w:szCs w:val="32"/>
        </w:rPr>
        <w:t>：质量管理与评估处）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13</w:t>
      </w:r>
      <w:r>
        <w:rPr>
          <w:rFonts w:hint="eastAsia" w:ascii="仿宋" w:hAnsi="仿宋" w:eastAsia="仿宋" w:cs="仿宋"/>
          <w:sz w:val="32"/>
          <w:szCs w:val="32"/>
        </w:rPr>
        <w:t>.迎接评估复评工作。在专家入校正式评估前进一步细化学校复评工作方案，就各工作组任务等工作细化方案、落实责任，全面梳理整改报告支撑材料、自评报告支撑材料、特色亮点的专家案头材料，对照检查、优化完善；组织磨课、模拟考察、模拟座谈和访谈等活动，扎实做好复评的各项工作，以最充分的准备、最好的状态迎接合格评估复评工作。</w:t>
      </w:r>
      <w:r>
        <w:rPr>
          <w:rFonts w:hint="eastAsia" w:ascii="仿宋" w:hAnsi="仿宋" w:eastAsia="仿宋" w:cs="仿宋"/>
          <w:bCs/>
          <w:sz w:val="32"/>
          <w:szCs w:val="32"/>
        </w:rPr>
        <w:t>（</w:t>
      </w:r>
      <w:r>
        <w:rPr>
          <w:rFonts w:hint="eastAsia" w:ascii="仿宋" w:hAnsi="仿宋" w:eastAsia="仿宋" w:cs="仿宋"/>
          <w:b/>
          <w:bCs/>
          <w:sz w:val="32"/>
          <w:szCs w:val="32"/>
        </w:rPr>
        <w:t>责任单位</w:t>
      </w:r>
      <w:r>
        <w:rPr>
          <w:rFonts w:hint="eastAsia" w:ascii="仿宋" w:hAnsi="仿宋" w:eastAsia="仿宋" w:cs="仿宋"/>
          <w:sz w:val="32"/>
          <w:szCs w:val="32"/>
        </w:rPr>
        <w:t>：质量管理与评估处）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四、推进教育教学改革，不断提升人才培养质量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14.强化专业内涵建设，着力建设“金专”。对标国一流专业建设点建设标准做好3个国一流专业建设和验收工作；对标省一流专业建设标准，全面加强14个省一流示范专业内涵建设，发挥专业的示范引领作用。按照星级专业标准全面加强所有专业内涵建设，开展一轮专业自评估。加强“三新”建设，力争获批省级示范性特色专业学院1个、高质量协同育人项目3-5项。（</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sz w:val="32"/>
          <w:szCs w:val="32"/>
        </w:rPr>
        <w:t>教务处）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15.强化课程建设与改革，着力建设“金课”。对标省一流课程建设指标加强课程资源建设，评选一批校一流课程；着力加强课堂教学改革，采取有效措施努力淘汰水课，打造金课。建立健全常规性课程评估制度，持续推进核心课程的达成度评价，形成课程建设持续改进的工作机制。落实党的二十大精神，坚持立德树人根本任务，全面加强思政课程和课程思政建设，</w:t>
      </w:r>
      <w:r>
        <w:rPr>
          <w:rFonts w:hint="eastAsia" w:ascii="仿宋" w:hAnsi="仿宋" w:eastAsia="仿宋"/>
          <w:sz w:val="32"/>
          <w:szCs w:val="32"/>
        </w:rPr>
        <w:t>积极申报课程思政优秀成果</w:t>
      </w:r>
      <w:r>
        <w:rPr>
          <w:rFonts w:hint="eastAsia" w:ascii="仿宋" w:hAnsi="仿宋" w:eastAsia="仿宋" w:cs="仿宋"/>
          <w:bCs/>
          <w:sz w:val="32"/>
          <w:szCs w:val="32"/>
        </w:rPr>
        <w:t>。鼓励教师充分利用现有条件，93门省一流课程全部建成线上课程资源并投入使用。实现专业全部理论课和实践课程的课程资源建设。（</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sz w:val="32"/>
          <w:szCs w:val="32"/>
        </w:rPr>
        <w:t>教务处</w:t>
      </w:r>
      <w:r>
        <w:rPr>
          <w:rFonts w:ascii="仿宋" w:hAnsi="仿宋" w:eastAsia="仿宋" w:cs="仿宋"/>
          <w:bCs/>
          <w:sz w:val="32"/>
          <w:szCs w:val="32"/>
        </w:rPr>
        <w:t>、</w:t>
      </w:r>
      <w:r>
        <w:rPr>
          <w:rFonts w:hint="eastAsia" w:ascii="仿宋" w:hAnsi="仿宋" w:eastAsia="仿宋" w:cs="仿宋"/>
          <w:bCs/>
          <w:sz w:val="32"/>
          <w:szCs w:val="32"/>
        </w:rPr>
        <w:t>马克思主义学院</w:t>
      </w:r>
      <w:r>
        <w:rPr>
          <w:rFonts w:ascii="仿宋" w:hAnsi="仿宋" w:eastAsia="仿宋" w:cs="仿宋"/>
          <w:bCs/>
          <w:sz w:val="32"/>
          <w:szCs w:val="32"/>
        </w:rPr>
        <w:t>、</w:t>
      </w:r>
      <w:r>
        <w:rPr>
          <w:rFonts w:hint="eastAsia" w:ascii="仿宋" w:hAnsi="仿宋" w:eastAsia="仿宋" w:cs="仿宋"/>
          <w:sz w:val="32"/>
          <w:szCs w:val="32"/>
        </w:rPr>
        <w:t>质量管理与评估处</w:t>
      </w:r>
      <w:r>
        <w:rPr>
          <w:rFonts w:hint="eastAsia" w:ascii="仿宋" w:hAnsi="仿宋" w:eastAsia="仿宋" w:cs="仿宋"/>
          <w:bCs/>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16.加强教学团队建设。以教学卓越奖评选为契机，引导各教学单位建设一支教学卓越的教师队伍，利用公开课、导师制等方式充分发挥优秀教师的示范引领作用。发挥基层教学组织的重要作用，持续加强教研室、课程团队的建设，进一步完善教研室、课程团队管理考核机制。以赛促教，赛训结合，持续完善和优化教师教学基本功比赛项目，开展教师教学创新大赛，提升教学水平。力争获批省级教学名师2人、教学团队1-2个。（</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sz w:val="32"/>
          <w:szCs w:val="32"/>
        </w:rPr>
        <w:t>教务处</w:t>
      </w:r>
      <w:r>
        <w:rPr>
          <w:rFonts w:hint="eastAsia" w:ascii="仿宋" w:hAnsi="仿宋" w:eastAsia="仿宋" w:cs="仿宋"/>
          <w:bCs/>
          <w:sz w:val="32"/>
          <w:szCs w:val="32"/>
        </w:rPr>
        <w:t>、教学促进与教师发展中心）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17.全面加强教材建设。完善课程</w:t>
      </w:r>
      <w:r>
        <w:rPr>
          <w:rFonts w:ascii="仿宋" w:hAnsi="仿宋" w:eastAsia="仿宋" w:cs="仿宋"/>
          <w:bCs/>
          <w:sz w:val="32"/>
          <w:szCs w:val="32"/>
        </w:rPr>
        <w:t>教材建设规划，</w:t>
      </w:r>
      <w:r>
        <w:rPr>
          <w:rFonts w:hint="eastAsia" w:ascii="仿宋" w:hAnsi="仿宋" w:eastAsia="仿宋" w:cs="仿宋"/>
          <w:bCs/>
          <w:sz w:val="32"/>
          <w:szCs w:val="32"/>
        </w:rPr>
        <w:t>引导教师不断总结课程改革成果，立项一批符合时代和专业需求的教材，争取年内能正式出版课程改革总结成果教材10部以上。结合党的二十大精神进教材，对自编教材进行审核修订，申报省级优秀教材。积极做好“十四五”省级职业教育规划教材建设、遴选和推荐工作。（</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sz w:val="32"/>
          <w:szCs w:val="32"/>
        </w:rPr>
        <w:t>教务处</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bCs/>
          <w:sz w:val="32"/>
          <w:szCs w:val="32"/>
        </w:rPr>
        <w:t>18.加强校内外基地建设。搭建好资源共享、开放服务的实验教学平台，大力推进实验室开放共享管理系统利用，压实实验室开放，为学生第二课堂开展提供更广阔的平台；评选校级实验教学示范中心，争取在省级产业学院、实验示范中心等项目上有新的突破。深化“五位一体”合作机制和“六共”合作模式，扎实推进校企合作，在校企协同育人和产教融合上实现新的突破。（</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19.深化教育教学改革。落实辽宁省本科教学改革15条精神，结合学校实际完善学分制改革方案，进一步扩大开放办学力度，充分利用校际合作平台，落实学分制工作机制；实行教考分离改革，制定科学、有序、有效的考核方案；扎实推进其它教学改革要求，打造沈工教学改革优势特色；认真总结凝练教学改革成果，形成一批校级优秀教学成果，为申报省级、国家级教学成果夯实基础；做好三个本科专业高层次学徒制改革试点结项工作，打造沈工经验，形成辽宁经验；</w:t>
      </w:r>
      <w:r>
        <w:rPr>
          <w:rFonts w:hint="eastAsia" w:ascii="仿宋" w:hAnsi="仿宋" w:eastAsia="仿宋"/>
          <w:bCs/>
          <w:sz w:val="32"/>
          <w:szCs w:val="32"/>
        </w:rPr>
        <w:t>深化创新创业教育改革，提升大创训练效果和大赛获奖水平，在获奖数量、重要赛事高水平奖项上努力实现新的突破，力争获评省级创新创业学院或实践基地，继续做好第九届“互联网+”大赛参赛工作。</w:t>
      </w:r>
      <w:r>
        <w:rPr>
          <w:rFonts w:hint="eastAsia" w:ascii="仿宋" w:hAnsi="仿宋" w:eastAsia="仿宋" w:cs="仿宋"/>
          <w:bCs/>
          <w:sz w:val="32"/>
          <w:szCs w:val="32"/>
        </w:rPr>
        <w:t>（</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教务处、创新创业学院、</w:t>
      </w:r>
      <w:r>
        <w:rPr>
          <w:rFonts w:hint="eastAsia" w:ascii="仿宋" w:hAnsi="仿宋" w:eastAsia="仿宋" w:cs="仿宋"/>
          <w:sz w:val="32"/>
          <w:szCs w:val="32"/>
        </w:rPr>
        <w:t>质量管理与评估处</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20.推进职业教育内涵发展。认真落实《辽宁省深化现代职业教育体系建设改革实施方案》，不断探索职业教育教学改革，开展1+X证书试点认证和书证融通工作，实施学历证书与技能证书的有效对接。深化校企合作产教融合，拓展优质合作企业,深入推进现代学徒制人才培养工作，提升学生技术技能水平，提高人才培养质量。（</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sz w:val="32"/>
          <w:szCs w:val="32"/>
        </w:rPr>
        <w:t>高等职业技术学院、</w:t>
      </w:r>
      <w:r>
        <w:rPr>
          <w:rFonts w:hint="eastAsia" w:ascii="仿宋" w:hAnsi="仿宋" w:eastAsia="仿宋" w:cs="仿宋"/>
          <w:bCs/>
          <w:sz w:val="32"/>
          <w:szCs w:val="32"/>
        </w:rPr>
        <w:t>教务处）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21.以优势专业为依托打造品牌项目，创新培训模式。围绕智能制造业、现代服务业、现代农业、战略性新兴产业，打造全省技术技能提升培训的沈工品牌项目；发挥各专业学院骨干专业和优秀教学团队的优势，建设一支职业化的培训师资队伍；建设辽宁省职业院校教师素质提升培训基地、辽宁省残疾人职业技能提升培训基地、辽宁省工会职工职业技能培训基地、辽宁省职业技能培训示范基地等一批省级基地；拓展“校际 业现场培训、远程在线培训等多种形式；形成“校内培训与校外培训相结合”、“技能培训与职业鉴定相结合”、“社会培训与学历教育相结合”的特色；将职业技能培训和学历教育一体化设计，实现学校人才培养从“学历文凭”模式向“文凭+”模式转变，提升学校人才培养的整体质量。（</w:t>
      </w:r>
      <w:r>
        <w:rPr>
          <w:rFonts w:hint="eastAsia" w:ascii="仿宋" w:hAnsi="仿宋" w:eastAsia="仿宋" w:cs="仿宋"/>
          <w:b/>
          <w:sz w:val="32"/>
          <w:szCs w:val="32"/>
        </w:rPr>
        <w:t>责任单位：</w:t>
      </w:r>
      <w:r>
        <w:rPr>
          <w:rFonts w:hint="eastAsia" w:ascii="仿宋" w:hAnsi="仿宋" w:eastAsia="仿宋" w:cs="仿宋"/>
          <w:bCs/>
          <w:sz w:val="32"/>
          <w:szCs w:val="32"/>
        </w:rPr>
        <w:t>培训学院、教务处）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bCs/>
          <w:sz w:val="32"/>
          <w:szCs w:val="32"/>
        </w:rPr>
        <w:t>22.完善</w:t>
      </w:r>
      <w:r>
        <w:rPr>
          <w:rFonts w:hint="eastAsia" w:ascii="仿宋" w:hAnsi="仿宋" w:eastAsia="仿宋" w:cs="仿宋"/>
          <w:bCs/>
          <w:sz w:val="32"/>
          <w:szCs w:val="32"/>
        </w:rPr>
        <w:t>学校质保体系建设。落实“943”质量保障体系建设要求，做好课堂教学日常和专项监督检查，推进质量监测评价系统建设，持续开展学生学习与成长评价、毕业生跟踪评价、教师满意度、核心课程建设评价、教材使用情况等调查工作，为持续改进提供客观数据；推动质保工作重心下移，进一步落实质量责任人至课程环节，构建课程层面的质量保障体系，全面实施持续改进的课程质量监控，以课程质量提升带动人才培养质量提升；借助校院督导信息化平台，强化校院两级质量管理，运用近几年反馈信息数据，对课堂教学、教师能力水平提升提出有针对性的改进建议；加强质量文化建设，培育质量文化意识、增强质量文化自觉；持续推进深化新时代教育评价改革措施落实。（</w:t>
      </w:r>
      <w:r>
        <w:rPr>
          <w:rFonts w:hint="eastAsia" w:ascii="仿宋" w:hAnsi="仿宋" w:eastAsia="仿宋" w:cs="仿宋"/>
          <w:b/>
          <w:sz w:val="32"/>
          <w:szCs w:val="32"/>
        </w:rPr>
        <w:t>责任单位：</w:t>
      </w:r>
      <w:r>
        <w:rPr>
          <w:rFonts w:hint="eastAsia" w:ascii="仿宋" w:hAnsi="仿宋" w:eastAsia="仿宋" w:cs="仿宋"/>
          <w:bCs/>
          <w:sz w:val="32"/>
          <w:szCs w:val="32"/>
        </w:rPr>
        <w:t>质量管理与评估处）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五、持续加强师资队伍建设，打造高素质专业化教师队伍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23.完善并落实人才引进政策，做好人才引进工作。通过核心人才辐射引进、团队引进、科研项目开发引进等方式，加大海内外高层次、高素质人才引进力度，注重学科带头人、特殊人才和高级技能型人才的引进，不断优化教师队伍结构。本年度自有专任教师稳定在730-750人之间，形成数量相对充足、结构相对合理的教师队伍，满足学科发展和专业建设要求。鼓励教师积极申报人才项目，力争高水平人才工程项目有新的突破。（</w:t>
      </w:r>
      <w:r>
        <w:rPr>
          <w:rFonts w:hint="eastAsia" w:ascii="仿宋_GB2312" w:hAnsi="Times New Roman" w:eastAsia="仿宋_GB2312"/>
          <w:b/>
          <w:bCs/>
          <w:sz w:val="32"/>
          <w:szCs w:val="32"/>
          <w:shd w:val="clear" w:color="auto" w:fill="FFFFFF"/>
        </w:rPr>
        <w:t>责任单位：</w:t>
      </w:r>
      <w:r>
        <w:rPr>
          <w:rFonts w:hint="eastAsia" w:ascii="仿宋_GB2312" w:hAnsi="Times New Roman" w:eastAsia="仿宋_GB2312"/>
          <w:sz w:val="32"/>
          <w:szCs w:val="32"/>
          <w:shd w:val="clear" w:color="auto" w:fill="FFFFFF"/>
        </w:rPr>
        <w:t>人事处）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24.打造良好的人才留用环境。进一步修订人事管理制度，调整《沈阳工学院二级单位年度绩效考核评价办法》《沈阳工学院培训工作实施方案》《沈阳工学院“双师双能型”教师评选办法》，合理提高优秀教职工的地位和待遇，保障学校行稳致远。（</w:t>
      </w:r>
      <w:r>
        <w:rPr>
          <w:rFonts w:hint="eastAsia" w:ascii="仿宋_GB2312" w:hAnsi="Times New Roman" w:eastAsia="仿宋_GB2312"/>
          <w:b/>
          <w:bCs/>
          <w:sz w:val="32"/>
          <w:szCs w:val="32"/>
          <w:shd w:val="clear" w:color="auto" w:fill="FFFFFF"/>
        </w:rPr>
        <w:t>责任单位：</w:t>
      </w:r>
      <w:r>
        <w:rPr>
          <w:rFonts w:hint="eastAsia" w:ascii="仿宋_GB2312" w:hAnsi="Times New Roman" w:eastAsia="仿宋_GB2312"/>
          <w:sz w:val="32"/>
          <w:szCs w:val="32"/>
          <w:shd w:val="clear" w:color="auto" w:fill="FFFFFF"/>
        </w:rPr>
        <w:t>人事处）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强化外聘教师队伍管理。根据学生培养需要及自有专任教师队伍结构情况，选聘实践经验丰富、学术水平高超的人员担任外聘教师。进一步加强校际交流，推进与其他高校师资共享。持续开展外聘教师培训，规范外聘教师人事档案及教学档案管理。持续推进优秀外聘教师评选和表彰，激发外聘教师队伍工作积极性。（</w:t>
      </w:r>
      <w:r>
        <w:rPr>
          <w:rFonts w:hint="eastAsia" w:ascii="仿宋_GB2312" w:hAnsi="仿宋_GB2312" w:eastAsia="仿宋_GB2312" w:cs="仿宋_GB2312"/>
          <w:b/>
          <w:bCs/>
          <w:color w:val="000000" w:themeColor="text1"/>
          <w:sz w:val="32"/>
          <w:szCs w:val="32"/>
          <w14:textFill>
            <w14:solidFill>
              <w14:schemeClr w14:val="tx1"/>
            </w14:solidFill>
          </w14:textFill>
        </w:rPr>
        <w:t>责任单位：</w:t>
      </w:r>
      <w:r>
        <w:rPr>
          <w:rFonts w:hint="eastAsia" w:ascii="仿宋_GB2312" w:hAnsi="仿宋_GB2312" w:eastAsia="仿宋_GB2312" w:cs="仿宋_GB2312"/>
          <w:color w:val="000000" w:themeColor="text1"/>
          <w:sz w:val="32"/>
          <w:szCs w:val="32"/>
          <w14:textFill>
            <w14:solidFill>
              <w14:schemeClr w14:val="tx1"/>
            </w14:solidFill>
          </w14:textFill>
        </w:rPr>
        <w:t>人事处、教学促进与教师发展中心、教务处）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pPr>
      <w:r>
        <w:rPr>
          <w:rFonts w:hint="eastAsia" w:ascii="仿宋_GB2312" w:eastAsia="仿宋_GB2312"/>
          <w:sz w:val="32"/>
          <w:szCs w:val="32"/>
          <w:shd w:val="clear" w:color="auto" w:fill="FFFFFF"/>
          <w:lang w:val="en-US" w:eastAsia="zh-CN"/>
        </w:rPr>
        <w:t>26</w:t>
      </w:r>
      <w:r>
        <w:rPr>
          <w:rFonts w:hint="eastAsia" w:ascii="仿宋_GB2312" w:eastAsia="仿宋_GB2312"/>
          <w:sz w:val="32"/>
          <w:szCs w:val="32"/>
          <w:shd w:val="clear" w:color="auto" w:fill="FFFFFF"/>
        </w:rPr>
        <w:t>.实施教师学历提升计划。继续大力鼓励并支持中青年教师赴海内外高校攻读博士学位，使一线教师通过规范化、科学化、系统化的深入学习，提升学术研究能力，推动我校科研水平持续提高，促进我校科教融合工作持续有效进行。充分发挥教师职业生涯规划的导向作用，将学校的发展战略与教师的个体发展有机结合，以优化师资队伍结构、提升师资队伍学历层次。（</w:t>
      </w:r>
      <w:r>
        <w:rPr>
          <w:rFonts w:hint="eastAsia" w:ascii="仿宋_GB2312" w:eastAsia="仿宋_GB2312"/>
          <w:b/>
          <w:bCs/>
          <w:sz w:val="32"/>
          <w:szCs w:val="32"/>
          <w:shd w:val="clear" w:color="auto" w:fill="FFFFFF"/>
        </w:rPr>
        <w:t>责任单位：</w:t>
      </w:r>
      <w:r>
        <w:rPr>
          <w:rFonts w:hint="eastAsia" w:ascii="仿宋_GB2312" w:eastAsia="仿宋_GB2312"/>
          <w:sz w:val="32"/>
          <w:szCs w:val="32"/>
          <w:shd w:val="clear" w:color="auto" w:fill="FFFFFF"/>
        </w:rPr>
        <w:t>人事处、教学促进与教师发展中心、教务处）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六、增强科研创新能力，努力服务地方发展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7</w:t>
      </w:r>
      <w:r>
        <w:rPr>
          <w:rFonts w:hint="eastAsia" w:ascii="仿宋" w:hAnsi="仿宋" w:eastAsia="仿宋" w:cs="仿宋"/>
          <w:bCs/>
          <w:sz w:val="32"/>
          <w:szCs w:val="32"/>
        </w:rPr>
        <w:t>.完善科研工作的激励与评价机制，充分释放科技创新活力。落实年度科研工作目标责任，严格科研工作目标管理考核；</w:t>
      </w:r>
      <w:r>
        <w:rPr>
          <w:rFonts w:hint="eastAsia" w:ascii="Times New Roman" w:hAnsi="Times New Roman" w:eastAsia="仿宋" w:cs="Times New Roman"/>
          <w:sz w:val="32"/>
          <w:szCs w:val="32"/>
        </w:rPr>
        <w:t>打造</w:t>
      </w:r>
      <w:r>
        <w:rPr>
          <w:rFonts w:ascii="Times New Roman" w:hAnsi="Times New Roman" w:eastAsia="仿宋" w:cs="Times New Roman"/>
          <w:sz w:val="32"/>
          <w:szCs w:val="32"/>
        </w:rPr>
        <w:t>科研诚信管理工作机制和责任体系，</w:t>
      </w:r>
      <w:r>
        <w:rPr>
          <w:rFonts w:hint="eastAsia" w:ascii="Times New Roman" w:hAnsi="Times New Roman" w:eastAsia="仿宋" w:cs="Times New Roman"/>
          <w:sz w:val="32"/>
          <w:szCs w:val="32"/>
        </w:rPr>
        <w:t>规范</w:t>
      </w:r>
      <w:r>
        <w:rPr>
          <w:rFonts w:ascii="Times New Roman" w:hAnsi="Times New Roman" w:eastAsia="仿宋" w:cs="Times New Roman"/>
          <w:sz w:val="32"/>
          <w:szCs w:val="32"/>
        </w:rPr>
        <w:t>科研活动全流程诚信管理，</w:t>
      </w:r>
      <w:r>
        <w:rPr>
          <w:rFonts w:hint="eastAsia" w:ascii="Times New Roman" w:hAnsi="Times New Roman" w:eastAsia="仿宋" w:cs="Times New Roman"/>
          <w:sz w:val="32"/>
          <w:szCs w:val="32"/>
        </w:rPr>
        <w:t>深入</w:t>
      </w:r>
      <w:r>
        <w:rPr>
          <w:rFonts w:ascii="Times New Roman" w:hAnsi="Times New Roman" w:eastAsia="仿宋" w:cs="Times New Roman"/>
          <w:sz w:val="32"/>
          <w:szCs w:val="32"/>
        </w:rPr>
        <w:t>推进科研诚信制度化建设</w:t>
      </w:r>
      <w:r>
        <w:rPr>
          <w:rFonts w:hint="eastAsia" w:ascii="Times New Roman" w:hAnsi="Times New Roman" w:eastAsia="仿宋" w:cs="Times New Roman"/>
          <w:sz w:val="32"/>
          <w:szCs w:val="32"/>
        </w:rPr>
        <w:t>。</w:t>
      </w:r>
      <w:r>
        <w:rPr>
          <w:rFonts w:hint="eastAsia" w:ascii="仿宋" w:hAnsi="仿宋" w:eastAsia="仿宋" w:cs="仿宋"/>
          <w:bCs/>
          <w:sz w:val="32"/>
          <w:szCs w:val="32"/>
        </w:rPr>
        <w:t>（</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科技处、人事处）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bCs/>
          <w:sz w:val="32"/>
          <w:szCs w:val="32"/>
        </w:rPr>
        <w:t>2</w:t>
      </w:r>
      <w:r>
        <w:rPr>
          <w:rFonts w:hint="eastAsia" w:ascii="仿宋" w:hAnsi="仿宋" w:eastAsia="仿宋" w:cs="仿宋"/>
          <w:bCs/>
          <w:sz w:val="32"/>
          <w:szCs w:val="32"/>
          <w:lang w:val="en-US" w:eastAsia="zh-CN"/>
        </w:rPr>
        <w:t>8</w:t>
      </w:r>
      <w:r>
        <w:rPr>
          <w:rFonts w:hint="eastAsia" w:ascii="仿宋" w:hAnsi="仿宋" w:eastAsia="仿宋" w:cs="仿宋"/>
          <w:bCs/>
          <w:sz w:val="32"/>
          <w:szCs w:val="32"/>
        </w:rPr>
        <w:t>.深化政产学研合作，加强专业科研平台建设。坚持以应用研究为引领，对接国家和区域发展战略，进一步做好“智造强省和科技支农”道路；切实推进并落实与白俄罗斯国立技术大学共建的创新中心，增强服务社会能力。围绕提升科研团队的科技创新能力，进一步加强专业科研平台建设；积极争取省部级以上高端科研平台立项建设，继续培育并争取立项省部级科研创新平台1-2个。（</w:t>
      </w:r>
      <w:r>
        <w:rPr>
          <w:rFonts w:hint="eastAsia" w:ascii="仿宋" w:hAnsi="仿宋" w:eastAsia="仿宋" w:cs="仿宋"/>
          <w:b/>
          <w:sz w:val="32"/>
          <w:szCs w:val="32"/>
        </w:rPr>
        <w:t>责任单位：</w:t>
      </w:r>
      <w:r>
        <w:rPr>
          <w:rFonts w:hint="eastAsia" w:ascii="仿宋" w:hAnsi="仿宋" w:eastAsia="仿宋" w:cs="仿宋"/>
          <w:bCs/>
          <w:sz w:val="32"/>
          <w:szCs w:val="32"/>
        </w:rPr>
        <w:t>科技处）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bCs/>
          <w:sz w:val="32"/>
          <w:szCs w:val="32"/>
        </w:rPr>
        <w:t>2</w:t>
      </w:r>
      <w:r>
        <w:rPr>
          <w:rFonts w:hint="eastAsia" w:ascii="仿宋" w:hAnsi="仿宋" w:eastAsia="仿宋" w:cs="仿宋"/>
          <w:bCs/>
          <w:sz w:val="32"/>
          <w:szCs w:val="32"/>
          <w:lang w:val="en-US" w:eastAsia="zh-CN"/>
        </w:rPr>
        <w:t>9</w:t>
      </w:r>
      <w:r>
        <w:rPr>
          <w:rFonts w:hint="eastAsia" w:ascii="仿宋" w:hAnsi="仿宋" w:eastAsia="仿宋" w:cs="仿宋"/>
          <w:bCs/>
          <w:sz w:val="32"/>
          <w:szCs w:val="32"/>
        </w:rPr>
        <w:t>.</w:t>
      </w:r>
      <w:r>
        <w:rPr>
          <w:rFonts w:ascii="Times New Roman" w:hAnsi="Times New Roman" w:eastAsia="仿宋" w:cs="Times New Roman"/>
          <w:bCs/>
          <w:sz w:val="32"/>
          <w:szCs w:val="32"/>
        </w:rPr>
        <w:t>凝聚学科方向和特色，遴选校重点学科及特色学科</w:t>
      </w:r>
      <w:r>
        <w:rPr>
          <w:rFonts w:hint="eastAsia" w:eastAsia="仿宋" w:cs="Times New Roman"/>
          <w:bCs/>
          <w:sz w:val="32"/>
          <w:szCs w:val="32"/>
        </w:rPr>
        <w:t>。</w:t>
      </w:r>
      <w:r>
        <w:rPr>
          <w:rFonts w:ascii="Times New Roman" w:hAnsi="Times New Roman" w:eastAsia="仿宋" w:cs="Times New Roman"/>
          <w:bCs/>
          <w:sz w:val="32"/>
          <w:szCs w:val="32"/>
        </w:rPr>
        <w:t>围绕学科建设本质，设立校学科建设专项资金</w:t>
      </w:r>
      <w:r>
        <w:rPr>
          <w:rFonts w:hint="eastAsia" w:ascii="Times New Roman" w:hAnsi="Times New Roman" w:eastAsia="仿宋" w:cs="Times New Roman"/>
          <w:bCs/>
          <w:sz w:val="32"/>
          <w:szCs w:val="32"/>
        </w:rPr>
        <w:t>。</w:t>
      </w:r>
      <w:r>
        <w:rPr>
          <w:rFonts w:hint="eastAsia" w:ascii="仿宋" w:hAnsi="仿宋" w:eastAsia="仿宋" w:cs="仿宋"/>
          <w:bCs/>
          <w:sz w:val="32"/>
          <w:szCs w:val="32"/>
        </w:rPr>
        <w:t>积极落实已开展的校际合作，积极拓展办学渠道，探索研究生联合培养沈工模式；加强硕士生导师的培训与考核，强化联合培养研究生的过程监管和阶段性成果的产出，确保我校导师培养研究生的数量与质量。（</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sz w:val="32"/>
          <w:szCs w:val="32"/>
        </w:rPr>
        <w:t>学科建设处、教务处、人事处）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val="en-US" w:eastAsia="zh-CN"/>
        </w:rPr>
        <w:t>30</w:t>
      </w:r>
      <w:r>
        <w:rPr>
          <w:rFonts w:hint="eastAsia" w:ascii="仿宋" w:hAnsi="仿宋" w:eastAsia="仿宋" w:cs="仿宋"/>
          <w:bCs/>
          <w:sz w:val="32"/>
          <w:szCs w:val="32"/>
        </w:rPr>
        <w:t>.加强科研创新团队建设，做实科研项目立项评审与研发。依托现有科研团队，组织遴选3-4个校级优秀科研创新团队；积极为教师创造与外界学习交流的机会，定期举办高水平的校内外学术交流会（Seminar），邀请专家学者来校进行讲座和学术指导。以有组织的科研创新培育国家、省部级重大项目，提高项目申报的数量；加强科研课题立项评审，提高教师申报科研课题的质量和水平；强化立项课题的中期和结题检查，促进成果的产出，带动学科建设水平和人才培养质量的提高。（</w:t>
      </w:r>
      <w:r>
        <w:rPr>
          <w:rFonts w:hint="eastAsia" w:ascii="仿宋" w:hAnsi="仿宋" w:eastAsia="仿宋" w:cs="仿宋"/>
          <w:b/>
          <w:sz w:val="32"/>
          <w:szCs w:val="32"/>
        </w:rPr>
        <w:t>责任单位：</w:t>
      </w:r>
      <w:r>
        <w:rPr>
          <w:rFonts w:hint="eastAsia" w:ascii="仿宋" w:hAnsi="仿宋" w:eastAsia="仿宋" w:cs="仿宋"/>
          <w:bCs/>
          <w:sz w:val="32"/>
          <w:szCs w:val="32"/>
        </w:rPr>
        <w:t>科技处、教务处）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1</w:t>
      </w:r>
      <w:r>
        <w:rPr>
          <w:rFonts w:hint="eastAsia" w:ascii="仿宋" w:hAnsi="仿宋" w:eastAsia="仿宋" w:cs="仿宋"/>
          <w:bCs/>
          <w:sz w:val="32"/>
          <w:szCs w:val="32"/>
        </w:rPr>
        <w:t>.完善专利等知识产权资助奖励政策，提升科技成果转化质量和水平。出台我校拥有的专利等知识产权管理制度与措施；通过提高转化收益比例等“后补助”方式，促进科技成果转移转化；实现专利、软著等知识产权申请质量提升；积极申请省级及以上科技成果奖，力争突破，大力提升科技成果转化质量和水平。（</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科技处）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2</w:t>
      </w:r>
      <w:r>
        <w:rPr>
          <w:rFonts w:hint="eastAsia" w:ascii="仿宋" w:hAnsi="仿宋" w:eastAsia="仿宋" w:cs="仿宋"/>
          <w:bCs/>
          <w:sz w:val="32"/>
          <w:szCs w:val="32"/>
        </w:rPr>
        <w:t>.多措并举，实施科教融合。进一步落实教师的科研成果和科研经历融入课程和专业建设、转化为课堂教学中的案例、双创训练项目、新开实验、第二课堂训练项目等的实效，加强科研对教学的促进作用；提高学生参与纵、横向科研项目的数量和质量；</w:t>
      </w:r>
      <w:r>
        <w:rPr>
          <w:rFonts w:ascii="Times New Roman" w:hAnsi="Times New Roman" w:eastAsia="仿宋" w:cs="Times New Roman"/>
          <w:sz w:val="32"/>
          <w:szCs w:val="32"/>
        </w:rPr>
        <w:t>依托</w:t>
      </w:r>
      <w:r>
        <w:rPr>
          <w:rFonts w:hint="eastAsia" w:ascii="Times New Roman" w:hAnsi="Times New Roman" w:eastAsia="仿宋" w:cs="Times New Roman"/>
          <w:sz w:val="32"/>
          <w:szCs w:val="32"/>
        </w:rPr>
        <w:t>科技成果</w:t>
      </w:r>
      <w:r>
        <w:rPr>
          <w:rFonts w:ascii="Times New Roman" w:hAnsi="Times New Roman" w:eastAsia="仿宋" w:cs="Times New Roman"/>
          <w:sz w:val="32"/>
          <w:szCs w:val="32"/>
        </w:rPr>
        <w:t>，结合专业建设与人才培养要求，促进专业建设水平和人才培养质量提升。</w:t>
      </w:r>
      <w:r>
        <w:rPr>
          <w:rFonts w:hint="eastAsia" w:ascii="Times New Roman" w:hAnsi="Times New Roman" w:eastAsia="仿宋" w:cs="Times New Roman"/>
          <w:sz w:val="32"/>
          <w:szCs w:val="32"/>
        </w:rPr>
        <w:t>（</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科技处、教务处）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ascii="黑体" w:hAnsi="黑体" w:eastAsia="黑体" w:cs="黑体"/>
          <w:sz w:val="32"/>
          <w:szCs w:val="32"/>
        </w:rPr>
        <w:t>七、以立德树人为根本，促进学生全面发展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3</w:t>
      </w:r>
      <w:r>
        <w:rPr>
          <w:rFonts w:hint="eastAsia" w:ascii="仿宋" w:hAnsi="仿宋" w:eastAsia="仿宋" w:cs="仿宋"/>
          <w:bCs/>
          <w:sz w:val="32"/>
          <w:szCs w:val="32"/>
        </w:rPr>
        <w:t>.持续夯实“一条主线”，创新开展大学生思想政治教育工作。一是以全面深入学习贯彻党的二十大精神为契机，通过开展主题报告、大学生理论宣讲、主题班团会、图片展等多种方式，教育引领全校青年学生争做有理想、敢担当、能吃苦、肯奋斗的新时代好青年；二是将培育和践行社会主义核心价值观、弘扬雷锋精神、贯彻校训理念有机结合，做好学生践行校训精神、树立优良校风的教育引导；三是积极推进校院两级易班平台建设，充分发挥网络平台思政教育功能，丰富网络平台学习教育资源，做好网络思政育人工作。（</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学生处）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4</w:t>
      </w:r>
      <w:r>
        <w:rPr>
          <w:rFonts w:hint="eastAsia" w:ascii="仿宋" w:hAnsi="仿宋" w:eastAsia="仿宋" w:cs="仿宋"/>
          <w:bCs/>
          <w:sz w:val="32"/>
          <w:szCs w:val="32"/>
        </w:rPr>
        <w:t>.扎实推进“四个强化”，做好学风建设工作。强化学风教育宣传，营造优良学风氛围；强化学风建设举措，大力开展学风建设活动；深入开展读书活动，引导学生爱读书、读好书、善读书；强化服务学生举措，用心用情精准做好学生资助帮扶、学业规划与生涯指导、心理咨询与健康教育等工作；强化学风制度保障，实现教学联动，完善学风激励机制，全面做好学风建设保障工作。（</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学生处</w:t>
      </w:r>
      <w:r>
        <w:rPr>
          <w:rFonts w:ascii="仿宋" w:hAnsi="仿宋" w:eastAsia="仿宋" w:cs="仿宋"/>
          <w:bCs/>
          <w:sz w:val="32"/>
          <w:szCs w:val="32"/>
        </w:rPr>
        <w:t>、</w:t>
      </w:r>
      <w:r>
        <w:rPr>
          <w:rFonts w:hint="eastAsia" w:ascii="仿宋" w:hAnsi="仿宋" w:eastAsia="仿宋" w:cs="仿宋"/>
          <w:bCs/>
          <w:sz w:val="32"/>
          <w:szCs w:val="32"/>
        </w:rPr>
        <w:t>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5</w:t>
      </w:r>
      <w:r>
        <w:rPr>
          <w:rFonts w:hint="eastAsia" w:ascii="仿宋" w:hAnsi="仿宋" w:eastAsia="仿宋" w:cs="仿宋"/>
          <w:bCs/>
          <w:sz w:val="32"/>
          <w:szCs w:val="32"/>
        </w:rPr>
        <w:t>.</w:t>
      </w:r>
      <w:r>
        <w:rPr>
          <w:rFonts w:ascii="仿宋" w:hAnsi="仿宋" w:eastAsia="仿宋" w:cs="仿宋"/>
          <w:bCs/>
          <w:sz w:val="32"/>
          <w:szCs w:val="32"/>
        </w:rPr>
        <w:t>坚持“五育并举”，</w:t>
      </w:r>
      <w:r>
        <w:rPr>
          <w:rFonts w:hint="eastAsia" w:ascii="仿宋" w:hAnsi="仿宋" w:eastAsia="仿宋" w:cs="仿宋"/>
          <w:bCs/>
          <w:sz w:val="32"/>
          <w:szCs w:val="32"/>
        </w:rPr>
        <w:t>推进“三全育人”综合改革、“一站式”学生社区综合管理模式建设</w:t>
      </w:r>
      <w:r>
        <w:rPr>
          <w:rFonts w:ascii="仿宋" w:hAnsi="仿宋" w:eastAsia="仿宋" w:cs="仿宋"/>
          <w:bCs/>
          <w:sz w:val="32"/>
          <w:szCs w:val="32"/>
        </w:rPr>
        <w:t>。坚持以学生发展为中心，全面推进三全育人，持续深入开展德育立人、智育启人，美育化人、体育强人、劳育砺人五育并举工程，培养学生德智体美劳全面发展。</w:t>
      </w:r>
      <w:r>
        <w:rPr>
          <w:rFonts w:hint="eastAsia" w:ascii="仿宋" w:hAnsi="仿宋" w:eastAsia="仿宋" w:cs="仿宋"/>
          <w:bCs/>
          <w:sz w:val="32"/>
          <w:szCs w:val="32"/>
        </w:rPr>
        <w:t>加强学校家庭社会协同育人，推广典型经验和优秀案例。（</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学生处）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6</w:t>
      </w:r>
      <w:r>
        <w:rPr>
          <w:rFonts w:hint="eastAsia" w:ascii="仿宋" w:hAnsi="仿宋" w:eastAsia="仿宋" w:cs="仿宋"/>
          <w:bCs/>
          <w:sz w:val="32"/>
          <w:szCs w:val="32"/>
        </w:rPr>
        <w:t>.</w:t>
      </w:r>
      <w:r>
        <w:rPr>
          <w:rFonts w:ascii="仿宋" w:hAnsi="仿宋" w:eastAsia="仿宋" w:cs="仿宋"/>
          <w:bCs/>
          <w:sz w:val="32"/>
          <w:szCs w:val="32"/>
        </w:rPr>
        <w:t>加强“三项工作”，推进辅导员队伍建设。通过学习培训、工作交流研讨、辅导员沙龙等方式，加强辅导员交流学习</w:t>
      </w:r>
      <w:r>
        <w:rPr>
          <w:rFonts w:hint="eastAsia" w:ascii="仿宋" w:hAnsi="仿宋" w:eastAsia="仿宋" w:cs="仿宋"/>
          <w:bCs/>
          <w:sz w:val="32"/>
          <w:szCs w:val="32"/>
        </w:rPr>
        <w:t>；</w:t>
      </w:r>
      <w:r>
        <w:rPr>
          <w:rFonts w:ascii="仿宋" w:hAnsi="仿宋" w:eastAsia="仿宋" w:cs="仿宋"/>
          <w:bCs/>
          <w:sz w:val="32"/>
          <w:szCs w:val="32"/>
        </w:rPr>
        <w:t>开展辅导员工作项目精品创建活动，提升辅导员理论水平</w:t>
      </w:r>
      <w:r>
        <w:rPr>
          <w:rFonts w:hint="eastAsia" w:ascii="仿宋" w:hAnsi="仿宋" w:eastAsia="仿宋" w:cs="仿宋"/>
          <w:bCs/>
          <w:sz w:val="32"/>
          <w:szCs w:val="32"/>
        </w:rPr>
        <w:t>；</w:t>
      </w:r>
      <w:r>
        <w:rPr>
          <w:rFonts w:ascii="仿宋" w:hAnsi="仿宋" w:eastAsia="仿宋" w:cs="仿宋"/>
          <w:bCs/>
          <w:sz w:val="32"/>
          <w:szCs w:val="32"/>
        </w:rPr>
        <w:t>组织辅导员业务能力大赛，提升辅导员业务能力。</w:t>
      </w:r>
      <w:r>
        <w:rPr>
          <w:rFonts w:hint="eastAsia" w:ascii="仿宋" w:hAnsi="仿宋" w:eastAsia="仿宋" w:cs="仿宋"/>
          <w:bCs/>
          <w:sz w:val="32"/>
          <w:szCs w:val="32"/>
        </w:rPr>
        <w:t>（</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学生处）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7</w:t>
      </w:r>
      <w:r>
        <w:rPr>
          <w:rFonts w:hint="eastAsia" w:ascii="仿宋" w:hAnsi="仿宋" w:eastAsia="仿宋" w:cs="仿宋"/>
          <w:bCs/>
          <w:sz w:val="32"/>
          <w:szCs w:val="32"/>
        </w:rPr>
        <w:t>.加强顶层设计，精准规划方案，扎实推进招生工作。研判新形势，进一步“稳规模、优结构、提质量”，推进内涵建设，着力提高考生对各专业的认知和认可度，有针对性地加强宣传力度，创新模式，提升效果，确保完成本、专科新生报到率目标。（</w:t>
      </w:r>
      <w:r>
        <w:rPr>
          <w:rFonts w:hint="eastAsia" w:ascii="仿宋" w:hAnsi="仿宋" w:eastAsia="仿宋" w:cs="仿宋"/>
          <w:b/>
          <w:sz w:val="32"/>
          <w:szCs w:val="32"/>
        </w:rPr>
        <w:t>责任单位：</w:t>
      </w:r>
      <w:r>
        <w:rPr>
          <w:rFonts w:hint="eastAsia" w:ascii="仿宋" w:hAnsi="仿宋" w:eastAsia="仿宋" w:cs="仿宋"/>
          <w:bCs/>
          <w:sz w:val="32"/>
          <w:szCs w:val="32"/>
        </w:rPr>
        <w:t>招生就业处）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8</w:t>
      </w:r>
      <w:r>
        <w:rPr>
          <w:rFonts w:hint="eastAsia" w:ascii="仿宋" w:hAnsi="仿宋" w:eastAsia="仿宋" w:cs="仿宋"/>
          <w:bCs/>
          <w:sz w:val="32"/>
          <w:szCs w:val="32"/>
        </w:rPr>
        <w:t>.深拓合作渠道，健全服务指导体系，促高质量就业。更大力度开拓市场化社会化就业渠道，深入开展书记校长访企拓岗促就业专项行动，深化校企合作，举办校园招聘活动，以多重手段开渠道、促就业；健全分阶段、全覆盖、高质量的就业指导服体系和教育，确保服务、指导、责任到位，以好政策、好岗位、好项目带动高质量就业。（</w:t>
      </w:r>
      <w:r>
        <w:rPr>
          <w:rFonts w:hint="eastAsia" w:ascii="仿宋" w:hAnsi="仿宋" w:eastAsia="仿宋" w:cs="仿宋"/>
          <w:b/>
          <w:sz w:val="32"/>
          <w:szCs w:val="32"/>
        </w:rPr>
        <w:t>责任单位：</w:t>
      </w:r>
      <w:r>
        <w:rPr>
          <w:rFonts w:hint="eastAsia" w:ascii="仿宋" w:hAnsi="仿宋" w:eastAsia="仿宋" w:cs="仿宋"/>
          <w:bCs/>
          <w:sz w:val="32"/>
          <w:szCs w:val="32"/>
        </w:rPr>
        <w:t>招生就业处）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八、提高管理效能，增强服务保障能力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9</w:t>
      </w:r>
      <w:r>
        <w:rPr>
          <w:rFonts w:hint="eastAsia" w:ascii="仿宋" w:hAnsi="仿宋" w:eastAsia="仿宋" w:cs="仿宋"/>
          <w:bCs/>
          <w:sz w:val="32"/>
          <w:szCs w:val="32"/>
        </w:rPr>
        <w:t>.坚持规划引领，推动学校高质量发展。以“三上”主要任务为重点，推进学校“十四五”规划发展任务落实落地，增强学校决策的执行力；开展学校“十四五”时期发展规划实施情况中期检查评估工作，促进提高学校规划实施工作质量；做好各项规划的中期修订完善工作。（</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党政办公室、教育研究院）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bCs/>
          <w:sz w:val="32"/>
          <w:szCs w:val="32"/>
          <w:lang w:val="en-US" w:eastAsia="zh-CN"/>
        </w:rPr>
        <w:t>40</w:t>
      </w:r>
      <w:r>
        <w:rPr>
          <w:rFonts w:hint="eastAsia" w:ascii="仿宋" w:hAnsi="仿宋" w:eastAsia="仿宋" w:cs="仿宋"/>
          <w:bCs/>
          <w:sz w:val="32"/>
          <w:szCs w:val="32"/>
        </w:rPr>
        <w:t>.深入推进依法治校，全面提升办学水平。持续做好学校制度建设工作，不断健全与完善适应民办应用型高校发展与办学治校要求的制度体系与运行机制；进一步加强法治工作，开展法治教育培训，全面推进依法治教、依法治校。持续办好“学宪法、讲宪法”系列活动。（</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党政办公室、法律事务中心）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bCs/>
          <w:sz w:val="32"/>
          <w:szCs w:val="32"/>
        </w:rPr>
        <w:t>4</w:t>
      </w:r>
      <w:r>
        <w:rPr>
          <w:rFonts w:hint="eastAsia" w:ascii="仿宋" w:hAnsi="仿宋" w:eastAsia="仿宋" w:cs="仿宋"/>
          <w:bCs/>
          <w:sz w:val="32"/>
          <w:szCs w:val="32"/>
          <w:lang w:val="en-US" w:eastAsia="zh-CN"/>
        </w:rPr>
        <w:t>1</w:t>
      </w:r>
      <w:r>
        <w:rPr>
          <w:rFonts w:hint="eastAsia" w:ascii="仿宋" w:hAnsi="仿宋" w:eastAsia="仿宋" w:cs="仿宋"/>
          <w:bCs/>
          <w:sz w:val="32"/>
          <w:szCs w:val="32"/>
        </w:rPr>
        <w:t>.持续深化海外交流合作。积极拓展建立与欧美、日韩、“一带一路”沿线国家的高水平大学的合作关系，加强推进二级学院“海外合作伙伴建设”行动计划。坚持“走出去”和“请进来”并重，扎实推动师生赴海外交流及学历提升，提高师生赴海外学习交流比例，加大引智，聘请高水平外籍专家任教、讲学或科研合作。深耕“一带一路”，加强俄乌白国际科研合作平台建设、举办国际学术交流论坛。加强人才国际化培养，引进国外优质课程资源，开展国际化课程建设项目，培养学生的跨文化交流能力及国际视野，持续推进“中白机械设计制造及其自动化2+2联合培养项目”。拓宽留学生招生渠道，稳定留学生招生规模。（</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bCs/>
          <w:sz w:val="32"/>
          <w:szCs w:val="32"/>
        </w:rPr>
        <w:t>国际教育学院）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val="en-US" w:eastAsia="zh-CN"/>
        </w:rPr>
        <w:t>2</w:t>
      </w:r>
      <w:r>
        <w:rPr>
          <w:rFonts w:hint="eastAsia" w:ascii="仿宋" w:hAnsi="仿宋" w:eastAsia="仿宋" w:cs="仿宋"/>
          <w:bCs/>
          <w:sz w:val="32"/>
          <w:szCs w:val="32"/>
        </w:rPr>
        <w:t>.加强学校文化与品牌形象建设。增强师生凝聚力，主要围绕开展“思校训、读校报”等形式多样的学校精神主题教育活动，扩大学校精神教育的影响力；全面加强学校融媒体建设水平，提升新媒体平台的宣传能力，加速组建一支素质过硬的宣传队伍。树立学校新形象，主要围绕塑造学校品牌形象定位，提升学校品牌核心价值和品牌影响力，完善并推广视觉形象识别系统；深入挖掘学校文化品牌项目，扩大沈工“文化名片”社会知名度。做好“国评”氛围营造、品牌形象塑造、招生就业等主题宣传工作，力争在全国同类院校和地方社会中具有较高的知名度和影响力。（</w:t>
      </w:r>
      <w:r>
        <w:rPr>
          <w:rFonts w:hint="eastAsia" w:ascii="仿宋" w:hAnsi="仿宋" w:eastAsia="仿宋" w:cs="仿宋"/>
          <w:b/>
          <w:sz w:val="32"/>
          <w:szCs w:val="32"/>
        </w:rPr>
        <w:t>责任单位：</w:t>
      </w:r>
      <w:r>
        <w:rPr>
          <w:rFonts w:hint="eastAsia" w:ascii="仿宋" w:hAnsi="仿宋" w:eastAsia="仿宋" w:cs="仿宋"/>
          <w:bCs/>
          <w:sz w:val="32"/>
          <w:szCs w:val="32"/>
        </w:rPr>
        <w:t>品牌发展处、校团委）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3</w:t>
      </w:r>
      <w:r>
        <w:rPr>
          <w:rFonts w:hint="eastAsia" w:ascii="仿宋" w:hAnsi="仿宋" w:eastAsia="仿宋" w:cs="仿宋"/>
          <w:sz w:val="32"/>
          <w:szCs w:val="32"/>
        </w:rPr>
        <w:t>.推进教育数字化建设，提升数字化服务质量。完善公寓管理系统，提高学生管理数字化水平，以此提高学生公寓的服务质量和管理水平；加强本地人脸库建设，拓展人脸识别应用范围，为师生提供便利；开发“沈工百事通”系统，解决师生日常事务咨询问题</w:t>
      </w:r>
      <w:r>
        <w:rPr>
          <w:rFonts w:hint="eastAsia" w:ascii="仿宋" w:hAnsi="仿宋" w:eastAsia="仿宋"/>
          <w:bCs/>
          <w:sz w:val="32"/>
          <w:szCs w:val="32"/>
        </w:rPr>
        <w:t>。</w:t>
      </w:r>
      <w:r>
        <w:rPr>
          <w:rFonts w:hint="eastAsia" w:ascii="仿宋" w:hAnsi="仿宋" w:eastAsia="仿宋" w:cs="仿宋"/>
          <w:bCs/>
          <w:sz w:val="32"/>
          <w:szCs w:val="32"/>
        </w:rPr>
        <w:t>（</w:t>
      </w:r>
      <w:r>
        <w:rPr>
          <w:rFonts w:hint="eastAsia" w:ascii="仿宋" w:hAnsi="仿宋" w:eastAsia="仿宋" w:cs="仿宋"/>
          <w:b/>
          <w:bCs/>
          <w:sz w:val="32"/>
          <w:szCs w:val="32"/>
        </w:rPr>
        <w:t>责任单位</w:t>
      </w:r>
      <w:r>
        <w:rPr>
          <w:rFonts w:ascii="仿宋" w:hAnsi="仿宋" w:eastAsia="仿宋" w:cs="仿宋"/>
          <w:b/>
          <w:bCs/>
          <w:sz w:val="32"/>
          <w:szCs w:val="32"/>
        </w:rPr>
        <w:t>：</w:t>
      </w:r>
      <w:r>
        <w:rPr>
          <w:rFonts w:hint="eastAsia" w:ascii="仿宋" w:hAnsi="仿宋" w:eastAsia="仿宋" w:cs="仿宋"/>
          <w:sz w:val="32"/>
          <w:szCs w:val="32"/>
        </w:rPr>
        <w:t>现代教育技术服务中心</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bCs/>
          <w:sz w:val="32"/>
          <w:szCs w:val="32"/>
          <w:lang w:val="en-US" w:eastAsia="zh-CN"/>
        </w:rPr>
        <w:t>4</w:t>
      </w:r>
      <w:r>
        <w:rPr>
          <w:rFonts w:hint="eastAsia" w:ascii="仿宋" w:hAnsi="仿宋" w:eastAsia="仿宋" w:cs="仿宋"/>
          <w:bCs/>
          <w:sz w:val="32"/>
          <w:szCs w:val="32"/>
        </w:rPr>
        <w:t>.进一步加强学校各项保障工作。加强预算全过程管理，统筹学校资源有效配置；继续深入推进以教学为中心的资财管理体系建设，提高管理工作水平。持续加强图书馆资源建设，在完成6万册纸质新书购置任务的基础上，努力提高新增资源质量；建立促进师生阅读活动机制，推动书香校园建设。认真落实“乙类乙管”下疫情防控各项举措，围绕“保健康、防重症”,最大程度保障师生健康。加强学校医疗保健机构和健康驿站建设，强化学校防疫物资和医疗用品保障。普及疫情防控知识，培养良好卫生习惯。</w:t>
      </w:r>
      <w:r>
        <w:rPr>
          <w:rFonts w:hint="eastAsia" w:ascii="仿宋" w:hAnsi="仿宋" w:eastAsia="仿宋" w:cs="仿宋"/>
          <w:sz w:val="32"/>
          <w:szCs w:val="32"/>
        </w:rPr>
        <w:t>做好实验室安全管理和校园日常管理工作，积极组织开展防范电信网络诈骗、交通安全、防范溺水、防灾减灾等安全教育</w:t>
      </w:r>
      <w:r>
        <w:rPr>
          <w:rFonts w:hint="eastAsia" w:ascii="仿宋" w:hAnsi="仿宋" w:eastAsia="仿宋" w:cs="仿宋"/>
          <w:bCs/>
          <w:sz w:val="32"/>
          <w:szCs w:val="32"/>
        </w:rPr>
        <w:t>；加强全校商服管理及食品安全保障，</w:t>
      </w:r>
      <w:r>
        <w:rPr>
          <w:rFonts w:hint="eastAsia" w:ascii="仿宋" w:hAnsi="仿宋" w:eastAsia="仿宋" w:cs="仿宋_GB2312"/>
          <w:sz w:val="32"/>
          <w:szCs w:val="32"/>
        </w:rPr>
        <w:t>精准施策，保障校园安全，师生健康。</w:t>
      </w:r>
      <w:r>
        <w:rPr>
          <w:rFonts w:hint="eastAsia" w:ascii="仿宋" w:hAnsi="仿宋" w:eastAsia="仿宋" w:cs="仿宋"/>
          <w:bCs/>
          <w:sz w:val="32"/>
          <w:szCs w:val="32"/>
        </w:rPr>
        <w:t>（</w:t>
      </w:r>
      <w:r>
        <w:rPr>
          <w:rFonts w:hint="eastAsia" w:ascii="仿宋" w:hAnsi="仿宋" w:eastAsia="仿宋" w:cs="仿宋"/>
          <w:b/>
          <w:bCs/>
          <w:sz w:val="32"/>
          <w:szCs w:val="32"/>
        </w:rPr>
        <w:t>责任单位</w:t>
      </w:r>
      <w:r>
        <w:rPr>
          <w:rFonts w:ascii="仿宋" w:hAnsi="仿宋" w:eastAsia="仿宋" w:cs="仿宋"/>
          <w:b/>
          <w:bCs/>
          <w:sz w:val="32"/>
          <w:szCs w:val="32"/>
        </w:rPr>
        <w:t>：</w:t>
      </w:r>
      <w:r>
        <w:rPr>
          <w:rFonts w:ascii="仿宋" w:hAnsi="仿宋" w:eastAsia="仿宋" w:cs="仿宋"/>
          <w:bCs/>
          <w:sz w:val="32"/>
          <w:szCs w:val="32"/>
        </w:rPr>
        <w:t>资产财务</w:t>
      </w:r>
      <w:r>
        <w:rPr>
          <w:rFonts w:hint="eastAsia" w:ascii="仿宋" w:hAnsi="仿宋" w:eastAsia="仿宋" w:cs="仿宋"/>
          <w:bCs/>
          <w:sz w:val="32"/>
          <w:szCs w:val="32"/>
        </w:rPr>
        <w:t>处、图书与档案馆、校医务室、后勤保卫处、学生处）</w:t>
      </w:r>
    </w:p>
    <w:p>
      <w:pPr>
        <w:pStyle w:val="2"/>
        <w:widowControl w:val="0"/>
        <w:numPr>
          <w:ilvl w:val="0"/>
          <w:numId w:val="0"/>
        </w:numPr>
        <w:jc w:val="left"/>
        <w:rPr>
          <w:rFonts w:hint="eastAsia" w:ascii="仿宋" w:hAnsi="仿宋" w:eastAsia="仿宋" w:cs="仿宋"/>
          <w:bCs/>
          <w:sz w:val="32"/>
          <w:szCs w:val="32"/>
        </w:rPr>
      </w:pPr>
      <w:bookmarkStart w:id="0" w:name="_GoBack"/>
      <w:bookmarkEnd w:id="0"/>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pStyle w:val="2"/>
        <w:widowControl w:val="0"/>
        <w:numPr>
          <w:ilvl w:val="0"/>
          <w:numId w:val="0"/>
        </w:numPr>
        <w:jc w:val="left"/>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WGamekeys MT">
    <w:altName w:val="微软雅黑"/>
    <w:panose1 w:val="00000000000000000000"/>
    <w:charset w:val="02"/>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032D5"/>
    <w:multiLevelType w:val="singleLevel"/>
    <w:tmpl w:val="D71032D5"/>
    <w:lvl w:ilvl="0" w:tentative="0">
      <w:start w:val="1"/>
      <w:numFmt w:val="none"/>
      <w:pStyle w:val="2"/>
      <w:lvlText w:val="%1."/>
      <w:lvlJc w:val="left"/>
      <w:pPr>
        <w:ind w:left="425" w:hanging="425"/>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hYzdjZTAxOGU2MmM0NjgyMTkxYWRkZDM2NmYzOWYifQ=="/>
  </w:docVars>
  <w:rsids>
    <w:rsidRoot w:val="00E23DE2"/>
    <w:rsid w:val="000155B5"/>
    <w:rsid w:val="00015A25"/>
    <w:rsid w:val="000202C5"/>
    <w:rsid w:val="00021A1E"/>
    <w:rsid w:val="00026DE0"/>
    <w:rsid w:val="00037669"/>
    <w:rsid w:val="000514A8"/>
    <w:rsid w:val="00054136"/>
    <w:rsid w:val="00055BB9"/>
    <w:rsid w:val="000600EB"/>
    <w:rsid w:val="00066A34"/>
    <w:rsid w:val="000761AE"/>
    <w:rsid w:val="000A027A"/>
    <w:rsid w:val="000A1531"/>
    <w:rsid w:val="000C58C0"/>
    <w:rsid w:val="000D2973"/>
    <w:rsid w:val="000E33D5"/>
    <w:rsid w:val="000F10FF"/>
    <w:rsid w:val="00115EB9"/>
    <w:rsid w:val="0014612E"/>
    <w:rsid w:val="00161CCB"/>
    <w:rsid w:val="00166E49"/>
    <w:rsid w:val="00181490"/>
    <w:rsid w:val="00182878"/>
    <w:rsid w:val="00191ACE"/>
    <w:rsid w:val="001B2398"/>
    <w:rsid w:val="001B37C6"/>
    <w:rsid w:val="001D290B"/>
    <w:rsid w:val="001E319A"/>
    <w:rsid w:val="001E4E7E"/>
    <w:rsid w:val="00202C84"/>
    <w:rsid w:val="00202FA4"/>
    <w:rsid w:val="002127F4"/>
    <w:rsid w:val="002219E2"/>
    <w:rsid w:val="002502F3"/>
    <w:rsid w:val="00253B12"/>
    <w:rsid w:val="0025779D"/>
    <w:rsid w:val="0026079E"/>
    <w:rsid w:val="00275677"/>
    <w:rsid w:val="00276849"/>
    <w:rsid w:val="002A590B"/>
    <w:rsid w:val="002B4FC3"/>
    <w:rsid w:val="002C3AE5"/>
    <w:rsid w:val="002C524C"/>
    <w:rsid w:val="002D207C"/>
    <w:rsid w:val="002D7FE3"/>
    <w:rsid w:val="003102F1"/>
    <w:rsid w:val="00315549"/>
    <w:rsid w:val="003257F0"/>
    <w:rsid w:val="00325A42"/>
    <w:rsid w:val="00352321"/>
    <w:rsid w:val="003533DF"/>
    <w:rsid w:val="0037374A"/>
    <w:rsid w:val="00373DC2"/>
    <w:rsid w:val="0037600D"/>
    <w:rsid w:val="0037752A"/>
    <w:rsid w:val="0038447A"/>
    <w:rsid w:val="003877FC"/>
    <w:rsid w:val="003A05F0"/>
    <w:rsid w:val="003A20AD"/>
    <w:rsid w:val="003C1E04"/>
    <w:rsid w:val="003C63C9"/>
    <w:rsid w:val="003D2A6A"/>
    <w:rsid w:val="003D3D46"/>
    <w:rsid w:val="003D4FC9"/>
    <w:rsid w:val="003D700B"/>
    <w:rsid w:val="003F5C1C"/>
    <w:rsid w:val="00407ED2"/>
    <w:rsid w:val="00410AA2"/>
    <w:rsid w:val="00421254"/>
    <w:rsid w:val="0042637A"/>
    <w:rsid w:val="0043578F"/>
    <w:rsid w:val="00441507"/>
    <w:rsid w:val="0044439D"/>
    <w:rsid w:val="004501FE"/>
    <w:rsid w:val="004766D4"/>
    <w:rsid w:val="0048192B"/>
    <w:rsid w:val="004B0FC7"/>
    <w:rsid w:val="004B55A8"/>
    <w:rsid w:val="004C0FAC"/>
    <w:rsid w:val="004C64A7"/>
    <w:rsid w:val="004D1BBB"/>
    <w:rsid w:val="004E1A48"/>
    <w:rsid w:val="004F2902"/>
    <w:rsid w:val="004F5AFC"/>
    <w:rsid w:val="005022AB"/>
    <w:rsid w:val="00504B15"/>
    <w:rsid w:val="00534000"/>
    <w:rsid w:val="00536D85"/>
    <w:rsid w:val="00540569"/>
    <w:rsid w:val="00541CF3"/>
    <w:rsid w:val="005464A2"/>
    <w:rsid w:val="0055585E"/>
    <w:rsid w:val="00571522"/>
    <w:rsid w:val="00575299"/>
    <w:rsid w:val="00583F1B"/>
    <w:rsid w:val="005866CF"/>
    <w:rsid w:val="005A54F6"/>
    <w:rsid w:val="005A7F70"/>
    <w:rsid w:val="005B7865"/>
    <w:rsid w:val="005C266D"/>
    <w:rsid w:val="005F446F"/>
    <w:rsid w:val="0060559F"/>
    <w:rsid w:val="0061277F"/>
    <w:rsid w:val="006200EE"/>
    <w:rsid w:val="0065649B"/>
    <w:rsid w:val="006604D5"/>
    <w:rsid w:val="0066162D"/>
    <w:rsid w:val="006630F2"/>
    <w:rsid w:val="0066490E"/>
    <w:rsid w:val="00667CC9"/>
    <w:rsid w:val="00676F34"/>
    <w:rsid w:val="00677F6A"/>
    <w:rsid w:val="006B2109"/>
    <w:rsid w:val="006E57B7"/>
    <w:rsid w:val="006E6A99"/>
    <w:rsid w:val="006F63C0"/>
    <w:rsid w:val="007103B0"/>
    <w:rsid w:val="00712116"/>
    <w:rsid w:val="00717D76"/>
    <w:rsid w:val="00720669"/>
    <w:rsid w:val="00720BD7"/>
    <w:rsid w:val="00733A83"/>
    <w:rsid w:val="00734376"/>
    <w:rsid w:val="00751EF0"/>
    <w:rsid w:val="0075737C"/>
    <w:rsid w:val="00767D48"/>
    <w:rsid w:val="00773490"/>
    <w:rsid w:val="00781CC9"/>
    <w:rsid w:val="007866BB"/>
    <w:rsid w:val="00797E8B"/>
    <w:rsid w:val="007B5E42"/>
    <w:rsid w:val="007C12A0"/>
    <w:rsid w:val="007C1CC1"/>
    <w:rsid w:val="007D0DC1"/>
    <w:rsid w:val="007D445F"/>
    <w:rsid w:val="007E4ADF"/>
    <w:rsid w:val="007E7768"/>
    <w:rsid w:val="007F5C91"/>
    <w:rsid w:val="00800E1D"/>
    <w:rsid w:val="008212B7"/>
    <w:rsid w:val="00847E6F"/>
    <w:rsid w:val="00856227"/>
    <w:rsid w:val="008615BC"/>
    <w:rsid w:val="008627C5"/>
    <w:rsid w:val="00865C45"/>
    <w:rsid w:val="008727BB"/>
    <w:rsid w:val="00873C4C"/>
    <w:rsid w:val="008826E0"/>
    <w:rsid w:val="00886E9A"/>
    <w:rsid w:val="008965A9"/>
    <w:rsid w:val="008D4338"/>
    <w:rsid w:val="008E07BD"/>
    <w:rsid w:val="008E3ECB"/>
    <w:rsid w:val="008E64E0"/>
    <w:rsid w:val="008F6BFA"/>
    <w:rsid w:val="009061D5"/>
    <w:rsid w:val="00910524"/>
    <w:rsid w:val="00914ED2"/>
    <w:rsid w:val="00926511"/>
    <w:rsid w:val="00933CB0"/>
    <w:rsid w:val="00947ADD"/>
    <w:rsid w:val="00954379"/>
    <w:rsid w:val="00956069"/>
    <w:rsid w:val="00962EB9"/>
    <w:rsid w:val="00963FBD"/>
    <w:rsid w:val="009740C6"/>
    <w:rsid w:val="00990972"/>
    <w:rsid w:val="009910FD"/>
    <w:rsid w:val="009B4559"/>
    <w:rsid w:val="009E2275"/>
    <w:rsid w:val="009F0967"/>
    <w:rsid w:val="009F4AED"/>
    <w:rsid w:val="00A1080F"/>
    <w:rsid w:val="00A13C6E"/>
    <w:rsid w:val="00A20EFB"/>
    <w:rsid w:val="00A2484F"/>
    <w:rsid w:val="00A2668A"/>
    <w:rsid w:val="00A32312"/>
    <w:rsid w:val="00A734E8"/>
    <w:rsid w:val="00A73DF0"/>
    <w:rsid w:val="00A834EC"/>
    <w:rsid w:val="00A848B5"/>
    <w:rsid w:val="00A90104"/>
    <w:rsid w:val="00A92E75"/>
    <w:rsid w:val="00A94A7D"/>
    <w:rsid w:val="00A96D37"/>
    <w:rsid w:val="00AA707B"/>
    <w:rsid w:val="00AB293F"/>
    <w:rsid w:val="00AD7989"/>
    <w:rsid w:val="00B011AD"/>
    <w:rsid w:val="00B329C8"/>
    <w:rsid w:val="00B356AC"/>
    <w:rsid w:val="00B37BAD"/>
    <w:rsid w:val="00B50F6D"/>
    <w:rsid w:val="00B55AC0"/>
    <w:rsid w:val="00B56A47"/>
    <w:rsid w:val="00B62E78"/>
    <w:rsid w:val="00B74C8D"/>
    <w:rsid w:val="00B815EB"/>
    <w:rsid w:val="00B83A76"/>
    <w:rsid w:val="00B87A04"/>
    <w:rsid w:val="00B943B9"/>
    <w:rsid w:val="00B969A3"/>
    <w:rsid w:val="00B974F0"/>
    <w:rsid w:val="00BA3672"/>
    <w:rsid w:val="00BA64C5"/>
    <w:rsid w:val="00BA65CB"/>
    <w:rsid w:val="00BC197D"/>
    <w:rsid w:val="00BC6262"/>
    <w:rsid w:val="00C0580A"/>
    <w:rsid w:val="00C4046D"/>
    <w:rsid w:val="00C8150E"/>
    <w:rsid w:val="00C85C6F"/>
    <w:rsid w:val="00C93D3C"/>
    <w:rsid w:val="00C94569"/>
    <w:rsid w:val="00CB2AAA"/>
    <w:rsid w:val="00CC3825"/>
    <w:rsid w:val="00D045C1"/>
    <w:rsid w:val="00D116DE"/>
    <w:rsid w:val="00D12D9A"/>
    <w:rsid w:val="00D14E31"/>
    <w:rsid w:val="00D21EC7"/>
    <w:rsid w:val="00D4415F"/>
    <w:rsid w:val="00D800F8"/>
    <w:rsid w:val="00D95766"/>
    <w:rsid w:val="00DB2E8F"/>
    <w:rsid w:val="00DB5DF4"/>
    <w:rsid w:val="00DC4043"/>
    <w:rsid w:val="00DC5D88"/>
    <w:rsid w:val="00DC6A1E"/>
    <w:rsid w:val="00DD1E5E"/>
    <w:rsid w:val="00DD25A7"/>
    <w:rsid w:val="00DD284F"/>
    <w:rsid w:val="00DF5CF4"/>
    <w:rsid w:val="00E024BE"/>
    <w:rsid w:val="00E032DD"/>
    <w:rsid w:val="00E105DE"/>
    <w:rsid w:val="00E217D5"/>
    <w:rsid w:val="00E23DE2"/>
    <w:rsid w:val="00E314A9"/>
    <w:rsid w:val="00E32973"/>
    <w:rsid w:val="00E56CD1"/>
    <w:rsid w:val="00E63A51"/>
    <w:rsid w:val="00E67E05"/>
    <w:rsid w:val="00E72BE5"/>
    <w:rsid w:val="00E75265"/>
    <w:rsid w:val="00ED5675"/>
    <w:rsid w:val="00ED5885"/>
    <w:rsid w:val="00EE031D"/>
    <w:rsid w:val="00EE5007"/>
    <w:rsid w:val="00F02EB2"/>
    <w:rsid w:val="00F252A7"/>
    <w:rsid w:val="00F44E0D"/>
    <w:rsid w:val="00F57211"/>
    <w:rsid w:val="00F66D71"/>
    <w:rsid w:val="00F76D25"/>
    <w:rsid w:val="00FA102A"/>
    <w:rsid w:val="00FA2CD5"/>
    <w:rsid w:val="00FA3427"/>
    <w:rsid w:val="00FA68D2"/>
    <w:rsid w:val="00FB17B8"/>
    <w:rsid w:val="00FB7278"/>
    <w:rsid w:val="00FB7E3C"/>
    <w:rsid w:val="00FC737A"/>
    <w:rsid w:val="00FD2ECD"/>
    <w:rsid w:val="00FD6A18"/>
    <w:rsid w:val="00FE3333"/>
    <w:rsid w:val="00FE37AB"/>
    <w:rsid w:val="00FF56CC"/>
    <w:rsid w:val="011142EE"/>
    <w:rsid w:val="0A3B055B"/>
    <w:rsid w:val="12E71988"/>
    <w:rsid w:val="12F27194"/>
    <w:rsid w:val="194D1D08"/>
    <w:rsid w:val="1C0248A6"/>
    <w:rsid w:val="1C4044EB"/>
    <w:rsid w:val="1CB5247B"/>
    <w:rsid w:val="1EEC7C54"/>
    <w:rsid w:val="1FCF6087"/>
    <w:rsid w:val="224A3C90"/>
    <w:rsid w:val="284657F9"/>
    <w:rsid w:val="3CD63C0C"/>
    <w:rsid w:val="3F22009E"/>
    <w:rsid w:val="3F614F2A"/>
    <w:rsid w:val="42F209DE"/>
    <w:rsid w:val="4EB40E5E"/>
    <w:rsid w:val="4F79327A"/>
    <w:rsid w:val="50085DD0"/>
    <w:rsid w:val="53383759"/>
    <w:rsid w:val="589518EE"/>
    <w:rsid w:val="5B3130FA"/>
    <w:rsid w:val="5FD3632A"/>
    <w:rsid w:val="60053F0F"/>
    <w:rsid w:val="626E33BF"/>
    <w:rsid w:val="646A49D8"/>
    <w:rsid w:val="6C6D2CA2"/>
    <w:rsid w:val="6CB70F1F"/>
    <w:rsid w:val="701255AF"/>
    <w:rsid w:val="7C337D02"/>
    <w:rsid w:val="7C66669A"/>
    <w:rsid w:val="7E283562"/>
    <w:rsid w:val="7E6A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numPr>
        <w:ilvl w:val="0"/>
        <w:numId w:val="1"/>
      </w:numPr>
      <w:ind w:left="0" w:firstLine="880"/>
      <w:jc w:val="left"/>
    </w:pPr>
    <w:rPr>
      <w:rFonts w:ascii="Times New Roman" w:hAnsi="Times New Roman"/>
    </w:rPr>
  </w:style>
  <w:style w:type="paragraph" w:styleId="3">
    <w:name w:val="annotation text"/>
    <w:basedOn w:val="1"/>
    <w:link w:val="16"/>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Char Char1 Char Char Char Char Char Char"/>
    <w:basedOn w:val="1"/>
    <w:qFormat/>
    <w:uiPriority w:val="0"/>
    <w:pPr>
      <w:widowControl/>
      <w:spacing w:after="160" w:line="240" w:lineRule="exact"/>
      <w:jc w:val="left"/>
    </w:pPr>
    <w:rPr>
      <w:rFonts w:eastAsia="SWGamekeys MT" w:cs="SWGamekeys MT"/>
      <w:kern w:val="0"/>
      <w:sz w:val="24"/>
      <w:szCs w:val="20"/>
      <w:lang w:eastAsia="en-US"/>
    </w:rPr>
  </w:style>
  <w:style w:type="character" w:customStyle="1" w:styleId="12">
    <w:name w:val="NormalCharacter"/>
    <w:basedOn w:val="9"/>
    <w:qFormat/>
    <w:uiPriority w:val="0"/>
  </w:style>
  <w:style w:type="character" w:customStyle="1" w:styleId="13">
    <w:name w:val="批注框文本 字符"/>
    <w:basedOn w:val="9"/>
    <w:link w:val="4"/>
    <w:semiHidden/>
    <w:qFormat/>
    <w:uiPriority w:val="99"/>
    <w:rPr>
      <w:rFonts w:asciiTheme="minorHAnsi" w:hAnsiTheme="minorHAnsi" w:eastAsiaTheme="minorEastAsia" w:cstheme="minorBidi"/>
      <w:kern w:val="2"/>
      <w:sz w:val="18"/>
      <w:szCs w:val="18"/>
    </w:rPr>
  </w:style>
  <w:style w:type="character" w:customStyle="1" w:styleId="14">
    <w:name w:val="页眉 字符"/>
    <w:basedOn w:val="9"/>
    <w:link w:val="6"/>
    <w:qFormat/>
    <w:uiPriority w:val="99"/>
    <w:rPr>
      <w:rFonts w:asciiTheme="minorHAnsi" w:hAnsiTheme="minorHAnsi" w:eastAsiaTheme="minorEastAsia" w:cstheme="minorBidi"/>
      <w:kern w:val="2"/>
      <w:sz w:val="18"/>
      <w:szCs w:val="18"/>
    </w:rPr>
  </w:style>
  <w:style w:type="character" w:customStyle="1" w:styleId="15">
    <w:name w:val="页脚 字符"/>
    <w:basedOn w:val="9"/>
    <w:link w:val="5"/>
    <w:qFormat/>
    <w:uiPriority w:val="99"/>
    <w:rPr>
      <w:rFonts w:asciiTheme="minorHAnsi" w:hAnsiTheme="minorHAnsi" w:eastAsiaTheme="minorEastAsia" w:cstheme="minorBidi"/>
      <w:kern w:val="2"/>
      <w:sz w:val="18"/>
      <w:szCs w:val="18"/>
    </w:rPr>
  </w:style>
  <w:style w:type="character" w:customStyle="1" w:styleId="16">
    <w:name w:val="批注文字 字符"/>
    <w:basedOn w:val="9"/>
    <w:link w:val="3"/>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1310</Words>
  <Characters>7471</Characters>
  <Lines>62</Lines>
  <Paragraphs>17</Paragraphs>
  <TotalTime>1</TotalTime>
  <ScaleCrop>false</ScaleCrop>
  <LinksUpToDate>false</LinksUpToDate>
  <CharactersWithSpaces>8764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2022-02-15T05:46:00Z</dcterms:created>
  <dc:creator>Administrator</dc:creator>
  <cp:lastModifiedBy>西小贝</cp:lastModifiedBy>
  <cp:lastPrinted>2021-03-03T08:18:00Z</cp:lastPrinted>
  <dcterms:modified xsi:type="dcterms:W3CDTF">2023-03-20T07:04:27Z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4F201F1A5809449184E72638DFA31D32</vt:lpwstr>
  </property>
</Properties>
</file>